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Rollstuhlbasketball </w:t>
            </w:r>
            <w:r>
              <w:rPr/>
              <w:t>Para</w:t>
            </w:r>
          </w:p>
        </w:tc>
      </w:tr>
    </w:tbl>
    <w:p>
      <w:pPr>
        <w:pStyle w:val="Wrap"/>
        <w:rPr/>
      </w:pPr>
      <w:r>
        <w:rPr/>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color w:val="FFFFFF"/>
              </w:rPr>
            </w:pPr>
            <w:r>
              <w:rPr>
                <w:color w:val="FFFFFF"/>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Info zu Wettkampf</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 xml:space="preserve">WK I </w:t>
            </w:r>
            <w:r>
              <w:rPr>
                <w:color w:val="FFFFFF"/>
              </w:rPr>
              <w:t>K</w:t>
            </w:r>
            <w:r>
              <w:rPr>
                <w:color w:val="FFFFFF"/>
              </w:rPr>
              <w:t xml:space="preserve"> Frei</w:t>
            </w:r>
          </w:p>
        </w:tc>
        <w:tc>
          <w:tcPr>
            <w:tcW w:w="1417"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K</w:t>
            </w:r>
          </w:p>
        </w:tc>
      </w:tr>
    </w:tbl>
    <w:p>
      <w:pPr>
        <w:pStyle w:val="Heading1"/>
        <w:numPr>
          <w:ilvl w:val="0"/>
          <w:numId w:val="1"/>
        </w:numPr>
        <w:rPr/>
      </w:pPr>
      <w:r>
        <w:rPr/>
        <w:t>Allgemeine Bestimmungen</w:t>
      </w:r>
    </w:p>
    <w:p>
      <w:pPr>
        <w:pStyle w:val="TextBody"/>
        <w:numPr>
          <w:ilvl w:val="0"/>
          <w:numId w:val="3"/>
        </w:numPr>
        <w:rPr>
          <w:b/>
          <w:b/>
          <w:bCs/>
        </w:rPr>
      </w:pPr>
      <w:r>
        <w:rPr>
          <w:b/>
          <w:bCs/>
        </w:rPr>
        <w:t>Startberechtigung</w:t>
      </w:r>
    </w:p>
    <w:p>
      <w:pPr>
        <w:pStyle w:val="TextBody"/>
        <w:numPr>
          <w:ilvl w:val="1"/>
          <w:numId w:val="3"/>
        </w:numPr>
        <w:rPr/>
      </w:pPr>
      <w:r>
        <w:rPr/>
        <w:t>Startberechtigt sind Schulmannschaften mit dem Förderschwerpunkt „körperliche und motorische Entwicklung“. Es dürfen auch Schüler/innen mitspielen, die nicht ständig auf die Benutzung eines Rollstuhls angewiesen sind. Schüler ohne jegliche Behinderung sind nicht startberechtigt.</w:t>
      </w:r>
    </w:p>
    <w:p>
      <w:pPr>
        <w:pStyle w:val="TextBody"/>
        <w:numPr>
          <w:ilvl w:val="1"/>
          <w:numId w:val="3"/>
        </w:numPr>
        <w:rPr/>
      </w:pPr>
      <w:r>
        <w:rPr/>
        <w:t>Schüler/innen mit einer Körperbehinderung, die an Regelschulen beschult werden, können in die Schulmannschaften integriert werden. Auch die Meldung einer Mannschaft mit Schülern nur aus Regelschulen ist möglich, sofern alle Schüler eine nachgewiesene Körperbehinderung haben.</w:t>
      </w:r>
    </w:p>
    <w:p>
      <w:pPr>
        <w:pStyle w:val="TextBody"/>
        <w:numPr>
          <w:ilvl w:val="1"/>
          <w:numId w:val="3"/>
        </w:numPr>
        <w:rPr/>
      </w:pPr>
      <w:r>
        <w:rPr/>
        <w:t>Zu einer Schulmannschaft können auch Schülerinnen und Schüler mit dem Förderschwerpunkt körperliche und motorische Entwicklung gehören, die an verschiedenen Schulen beschult werden.</w:t>
      </w:r>
    </w:p>
    <w:p>
      <w:pPr>
        <w:pStyle w:val="TextBody"/>
        <w:numPr>
          <w:ilvl w:val="1"/>
          <w:numId w:val="3"/>
        </w:numPr>
        <w:rPr/>
      </w:pPr>
      <w:r>
        <w:rPr/>
        <w:t>Wenn in den Ländern eine Qualifikation für das Bundesfinale stattgefunden hat, müssen sie jedoch für diesen Verbund auf allen Ausscheidungsebenen an den Start gegangen sein.</w:t>
      </w:r>
    </w:p>
    <w:p>
      <w:pPr>
        <w:pStyle w:val="TextBody"/>
        <w:numPr>
          <w:ilvl w:val="1"/>
          <w:numId w:val="3"/>
        </w:numPr>
        <w:rPr/>
      </w:pPr>
      <w:r>
        <w:rPr/>
        <w:t>Die Schülerinnen und Schüler müssen den Jahrgängen 200</w:t>
      </w:r>
      <w:r>
        <w:rPr/>
        <w:t>2</w:t>
      </w:r>
      <w:r>
        <w:rPr/>
        <w:t xml:space="preserve"> und jünger angehören.</w:t>
      </w:r>
    </w:p>
    <w:p>
      <w:pPr>
        <w:pStyle w:val="TextBody"/>
        <w:numPr>
          <w:ilvl w:val="0"/>
          <w:numId w:val="3"/>
        </w:numPr>
        <w:rPr>
          <w:b/>
          <w:b/>
          <w:bCs/>
        </w:rPr>
      </w:pPr>
      <w:r>
        <w:rPr>
          <w:b/>
          <w:bCs/>
        </w:rPr>
        <w:t>Regeln</w:t>
      </w:r>
    </w:p>
    <w:p>
      <w:pPr>
        <w:pStyle w:val="TextBody"/>
        <w:numPr>
          <w:ilvl w:val="1"/>
          <w:numId w:val="3"/>
        </w:numPr>
        <w:rPr/>
      </w:pPr>
      <w:r>
        <w:rPr/>
        <w:t xml:space="preserve">Gespielt wird – soweit in dieser Ausschreibung nichts anderes festgelegt ist – auf der Grundlage des Regelwerkes des Deutschen Rollstuhl-Sportverbandes (DRS). Sie stehen als Download im Internet unter: </w:t>
      </w:r>
      <w:hyperlink r:id="rId2">
        <w:r>
          <w:rPr>
            <w:rStyle w:val="InternetLink"/>
            <w:b/>
            <w:bCs/>
          </w:rPr>
          <w:t>www.drs-</w:t>
        </w:r>
      </w:hyperlink>
      <w:hyperlink r:id="rId3">
        <w:r>
          <w:rPr>
            <w:rStyle w:val="InternetLink"/>
            <w:b/>
            <w:bCs/>
          </w:rPr>
          <w:t>rbb</w:t>
        </w:r>
      </w:hyperlink>
      <w:hyperlink r:id="rId4">
        <w:r>
          <w:rPr>
            <w:rStyle w:val="InternetLink"/>
            <w:b/>
            <w:bCs/>
          </w:rPr>
          <w:t>.de</w:t>
        </w:r>
      </w:hyperlink>
    </w:p>
    <w:p>
      <w:pPr>
        <w:pStyle w:val="TextBody"/>
        <w:numPr>
          <w:ilvl w:val="1"/>
          <w:numId w:val="3"/>
        </w:numPr>
        <w:rPr>
          <w:b w:val="false"/>
          <w:b w:val="false"/>
          <w:bCs w:val="false"/>
        </w:rPr>
      </w:pPr>
      <w:r>
        <w:rPr>
          <w:b w:val="false"/>
          <w:bCs w:val="false"/>
        </w:rPr>
        <w:t>Es gelten folgende Abweichungen:</w:t>
      </w:r>
    </w:p>
    <w:p>
      <w:pPr>
        <w:pStyle w:val="TextBody"/>
        <w:numPr>
          <w:ilvl w:val="0"/>
          <w:numId w:val="2"/>
        </w:numPr>
        <w:rPr/>
      </w:pPr>
      <w:r>
        <w:rPr/>
        <w:t>Die Freiwurflinie wird 75 cm näher an den Korb vorverlegt, dies gilt für alle Spieler/innen. Statt der Freiwürfe kann der Spieler / die Spielerin auch die Option „Einwurf Seitenlinie“ wählen.</w:t>
      </w:r>
    </w:p>
    <w:p>
      <w:pPr>
        <w:pStyle w:val="TextBody"/>
        <w:numPr>
          <w:ilvl w:val="0"/>
          <w:numId w:val="2"/>
        </w:numPr>
        <w:rPr/>
      </w:pPr>
      <w:r>
        <w:rPr/>
        <w:t>Wenn der Ball sich auf dem Schoß einer/eines Spielerin/Spielers befindet, darf dieser grundsätzlich gespielt werden. Dies ist allerdings nicht möglich, wenn die/der Spielerin/Spieler den Ball mit einer Hand bedeckt oder berührt. In diesem Fall wird diese Aktion durch die Schiedsrichter mit einem Foul bestraft.</w:t>
      </w:r>
    </w:p>
    <w:p>
      <w:pPr>
        <w:pStyle w:val="TextBody"/>
        <w:numPr>
          <w:ilvl w:val="0"/>
          <w:numId w:val="2"/>
        </w:numPr>
        <w:rPr/>
      </w:pPr>
      <w:r>
        <w:rPr/>
        <w:t>Die Zeitregeln, 3 Sekunden, 8 Sekunden und 24 Sekunden, werden wie folgt verlängert:</w:t>
        <w:br/>
        <w:t>In der Zone auf 5 Sekunden, Ball über die Mitte</w:t>
      </w:r>
      <w:r>
        <w:rPr/>
        <w:t>l</w:t>
      </w:r>
      <w:r>
        <w:rPr/>
        <w:t xml:space="preserve">linie auf 10 Sekunden und erster Korbwurf nach spätestens </w:t>
      </w:r>
      <w:r>
        <w:rPr/>
        <w:t>24</w:t>
      </w:r>
      <w:r>
        <w:rPr/>
        <w:t xml:space="preserve"> Sekunden!</w:t>
      </w:r>
    </w:p>
    <w:p>
      <w:pPr>
        <w:pStyle w:val="TextBody"/>
        <w:numPr>
          <w:ilvl w:val="0"/>
          <w:numId w:val="2"/>
        </w:numPr>
        <w:rPr/>
      </w:pPr>
      <w:r>
        <w:rPr/>
        <w:t>Spielerwechsel sind zwischen dem Teambankbereich und dem Kampfrichtertisch in Form des “Abklatschens“ möglich.</w:t>
      </w:r>
    </w:p>
    <w:p>
      <w:pPr>
        <w:pStyle w:val="TextBody"/>
        <w:numPr>
          <w:ilvl w:val="0"/>
          <w:numId w:val="2"/>
        </w:numPr>
        <w:rPr/>
      </w:pPr>
      <w:r>
        <w:rPr/>
        <w:t>Es wird mit durchlaufender oder gestoppter Zeit gespielt. Sobald mit gestoppter Zeit gespielt wird, sind die Spielerwechsel ausschließlich bei Unterbrechungen möglich.</w:t>
      </w:r>
    </w:p>
    <w:p>
      <w:pPr>
        <w:pStyle w:val="TextBody"/>
        <w:numPr>
          <w:ilvl w:val="0"/>
          <w:numId w:val="2"/>
        </w:numPr>
        <w:rPr/>
      </w:pPr>
      <w:r>
        <w:rPr/>
        <w:t>Durchlaufende und gestoppte Zeiten können in einem Spiel vorkommen, z. B. letzte 2 Spielminuten, Freiwürfe oder ähnliches.</w:t>
      </w:r>
    </w:p>
    <w:p>
      <w:pPr>
        <w:pStyle w:val="TextBody"/>
        <w:numPr>
          <w:ilvl w:val="0"/>
          <w:numId w:val="2"/>
        </w:numPr>
        <w:rPr/>
      </w:pPr>
      <w:r>
        <w:rPr/>
        <w:t>Anstelle frei wählbarer Auszeiten gibt es eine „zentrale“ Auszeit zur Mitte der Spielzeit.</w:t>
      </w:r>
    </w:p>
    <w:p>
      <w:pPr>
        <w:pStyle w:val="TextBody"/>
        <w:numPr>
          <w:ilvl w:val="0"/>
          <w:numId w:val="2"/>
        </w:numPr>
        <w:rPr/>
      </w:pPr>
      <w:r>
        <w:rPr/>
        <w:t xml:space="preserve">Eine Klassifizierung der SpielerInnen muss vorliegen. Die detaillierten Regelungen befinden sich unter Punkt </w:t>
      </w:r>
      <w:r>
        <w:rPr/>
        <w:t>4</w:t>
      </w:r>
      <w:r>
        <w:rPr/>
        <w:t>.</w:t>
      </w:r>
    </w:p>
    <w:p>
      <w:pPr>
        <w:pStyle w:val="TextBody"/>
        <w:numPr>
          <w:ilvl w:val="0"/>
          <w:numId w:val="2"/>
        </w:numPr>
        <w:rPr/>
      </w:pPr>
      <w:r>
        <w:rPr/>
        <w:t>Es wird mit dem Spielball der Größe 6 gespielt.</w:t>
      </w:r>
    </w:p>
    <w:p>
      <w:pPr>
        <w:pStyle w:val="TextBody"/>
        <w:numPr>
          <w:ilvl w:val="0"/>
          <w:numId w:val="2"/>
        </w:numPr>
        <w:rPr/>
      </w:pPr>
      <w:r>
        <w:rPr/>
        <w:t>Entgegen den Wünschen einiger Mannschaften ist es nicht möglich, Lernbehinderungen und geistige Behinderungen bei der Klassifizierung zu berücksichtigen, da der Wettbewerb für Schulmannschaften mit dem Förderschwerpunkt „körperliche und motorische Entwicklung“ ausgeschrieben ist.</w:t>
      </w:r>
    </w:p>
    <w:p>
      <w:pPr>
        <w:pStyle w:val="Hinweis"/>
        <w:rPr/>
      </w:pPr>
      <w:r>
        <w:rPr/>
        <w:t>An die teilnehmenden Mannschaften wird der dringende Appell gerichtet, möglichst viele „echte“ Rollstuhlfahrer einzusetzen!</w:t>
      </w:r>
    </w:p>
    <w:p>
      <w:pPr>
        <w:pStyle w:val="TextBody"/>
        <w:rPr>
          <w:b/>
          <w:b/>
          <w:bCs/>
        </w:rPr>
      </w:pPr>
      <w:r>
        <w:rPr>
          <w:b/>
          <w:bCs/>
        </w:rPr>
      </w:r>
    </w:p>
    <w:p>
      <w:pPr>
        <w:pStyle w:val="TextBody"/>
        <w:numPr>
          <w:ilvl w:val="0"/>
          <w:numId w:val="3"/>
        </w:numPr>
        <w:rPr>
          <w:b/>
          <w:b/>
          <w:bCs/>
        </w:rPr>
      </w:pPr>
      <w:r>
        <w:rPr>
          <w:b/>
          <w:bCs/>
        </w:rPr>
        <w:t>Austragungsmodus</w:t>
      </w:r>
    </w:p>
    <w:p>
      <w:pPr>
        <w:pStyle w:val="TextBody"/>
        <w:rPr/>
      </w:pPr>
      <w:r>
        <w:rPr/>
        <w:t>Wettbewerb</w:t>
      </w:r>
    </w:p>
    <w:p>
      <w:pPr>
        <w:pStyle w:val="TextBody"/>
        <w:rPr/>
      </w:pPr>
      <w:r>
        <w:rPr/>
        <w:t>Eine Mannschaft besteht aus 5 Spielerinnen oder Spielern und max. 5 AuswechselspielerInnen. Es gibt keine zahlenmäßige Vorgabe der Zusammensetzung. Es kann beliebig ein- und ausgewechselt werden.</w:t>
      </w:r>
    </w:p>
    <w:p>
      <w:pPr>
        <w:pStyle w:val="TextBody"/>
        <w:rPr/>
      </w:pPr>
      <w:r>
        <w:rPr/>
        <w:t>Jede Mannschaft muss mit zwei verschiedenfarbigen, einheitlichen nummerierten Trikotsätzen antreten. Die Nummern müssen vorne und hinten auf dem Trikot sichtbar sein.</w:t>
      </w:r>
    </w:p>
    <w:p>
      <w:pPr>
        <w:pStyle w:val="TextBody"/>
        <w:rPr/>
      </w:pPr>
      <w:r>
        <w:rPr/>
        <w:t>Das Spielfeld entspricht einem normalen Basketballfeld. Es werden die offiziellen Korbanlagen benutzt.</w:t>
      </w:r>
    </w:p>
    <w:p>
      <w:pPr>
        <w:pStyle w:val="TextBody"/>
        <w:rPr/>
      </w:pPr>
      <w:r>
        <w:rPr/>
        <w:t>In Anlehnung an die Platzierungs- und Finalspiele beim Bundesfinale wird die Spielzeit auf 2 x 12 min. durchgehend festgesetzt, 2 min Overtime durchgehend bei Unentschieden. In den letzten beiden Minuten wird die Zeit bei jeder Spielunterbrechung gestoppt.</w:t>
      </w:r>
    </w:p>
    <w:p>
      <w:pPr>
        <w:pStyle w:val="TextBody"/>
        <w:numPr>
          <w:ilvl w:val="0"/>
          <w:numId w:val="3"/>
        </w:numPr>
        <w:rPr>
          <w:b/>
          <w:b/>
          <w:bCs/>
        </w:rPr>
      </w:pPr>
      <w:r>
        <w:rPr>
          <w:b/>
          <w:bCs/>
        </w:rPr>
        <w:t>Klassifizierungsrichtlinie für das Landesfinale JTFP 20</w:t>
      </w:r>
      <w:r>
        <w:rPr>
          <w:b/>
          <w:bCs/>
        </w:rPr>
        <w:t>20</w:t>
      </w:r>
    </w:p>
    <w:p>
      <w:pPr>
        <w:pStyle w:val="TextBody"/>
        <w:rPr/>
      </w:pPr>
      <w:r>
        <w:rPr/>
        <w:tab/>
        <w:t xml:space="preserve">Maximale Punktezahl: </w:t>
        <w:tab/>
        <w:tab/>
        <w:t>11,0 Punkte</w:t>
        <w:br/>
        <w:tab/>
        <w:t xml:space="preserve">Bonus-Zusatz Behinderung: </w:t>
        <w:tab/>
        <w:t>0,5 Punkte</w:t>
        <w:br/>
        <w:tab/>
        <w:t xml:space="preserve">Jugend-Bonus: </w:t>
        <w:tab/>
        <w:tab/>
        <w:t>0,5 Punkte</w:t>
        <w:br/>
        <w:tab/>
        <w:t xml:space="preserve">Mädchen-Bonus: </w:t>
        <w:tab/>
        <w:tab/>
        <w:t>1 Punkt</w:t>
      </w:r>
    </w:p>
    <w:p>
      <w:pPr>
        <w:pStyle w:val="TextBody"/>
        <w:rPr/>
      </w:pPr>
      <w:r>
        <w:rPr>
          <w:rFonts w:ascii="HelveticaNeue" w:hAnsi="HelveticaNeue"/>
          <w:outline w:val="false"/>
          <w:color w:val="242B30"/>
          <w:spacing w:val="0"/>
          <w:kern w:val="0"/>
          <w:sz w:val="20"/>
          <w:u w:val="none"/>
        </w:rPr>
        <w:tab/>
      </w:r>
      <w:r>
        <w:rPr>
          <w:b/>
          <w:bCs/>
        </w:rPr>
        <w:t>(Bonus bedeutet in diesen Fällen ein Abzug von der jeweiligen Punktezahl.)</w:t>
      </w:r>
    </w:p>
    <w:p>
      <w:pPr>
        <w:pStyle w:val="Heading3"/>
        <w:numPr>
          <w:ilvl w:val="2"/>
          <w:numId w:val="1"/>
        </w:numPr>
        <w:rPr/>
      </w:pPr>
      <w:r>
        <w:rPr>
          <w:rFonts w:eastAsia="Arial Unicode MS" w:cs="Arial Unicode MS"/>
          <w:b/>
          <w:bCs/>
          <w:color w:val="00090F"/>
          <w:sz w:val="21"/>
          <w:szCs w:val="28"/>
        </w:rPr>
        <w:t>1 Punkt:</w:t>
      </w:r>
      <w:r>
        <w:rPr/>
        <w:tab/>
      </w:r>
      <w:r>
        <w:rPr>
          <w:b/>
          <w:bCs/>
        </w:rPr>
        <w:t>Test:</w:t>
      </w:r>
      <w:r>
        <w:rPr/>
        <w:t xml:space="preserve"> Ball aufheben vorne vor der Fußraste </w:t>
      </w:r>
      <w:r>
        <w:rPr>
          <w:b/>
          <w:bCs/>
        </w:rPr>
        <w:t>nicht</w:t>
      </w:r>
      <w:r>
        <w:rPr/>
        <w:t xml:space="preserve"> möglich.</w:t>
      </w:r>
    </w:p>
    <w:p>
      <w:pPr>
        <w:pStyle w:val="TextBody"/>
        <w:rPr/>
      </w:pPr>
      <w:r>
        <w:rPr/>
        <w:t xml:space="preserve">– </w:t>
      </w:r>
      <w:r>
        <w:rPr/>
        <w:t>Der Spieler verfügt über keine oder nur eingeschränkte Rumpfmuskulatur und ist immer rollstuhlpflichtig.</w:t>
        <w:br/>
        <w:t>– Aufrichten des Oberkörpers nicht oder nur mit Schwierigkeiten möglich.</w:t>
        <w:br/>
        <w:t>– Klassifizierung Rollstuhlbasketball 1 bis 2 Punkte.</w:t>
      </w:r>
    </w:p>
    <w:p>
      <w:pPr>
        <w:pStyle w:val="Heading3"/>
        <w:numPr>
          <w:ilvl w:val="2"/>
          <w:numId w:val="1"/>
        </w:numPr>
        <w:rPr/>
      </w:pPr>
      <w:r>
        <w:rPr>
          <w:b/>
          <w:bCs/>
        </w:rPr>
        <w:t>2 Punkte:</w:t>
      </w:r>
      <w:r>
        <w:rPr/>
        <w:tab/>
      </w:r>
      <w:r>
        <w:rPr>
          <w:rFonts w:eastAsia="Arial Unicode MS" w:cs="Arial Unicode MS"/>
          <w:b/>
          <w:bCs/>
          <w:color w:val="00090F"/>
          <w:sz w:val="21"/>
          <w:szCs w:val="28"/>
        </w:rPr>
        <w:t>Test:</w:t>
      </w:r>
      <w:r>
        <w:rPr/>
        <w:t xml:space="preserve"> Ball aufheben vorne vor der Fußraste möglich.</w:t>
        <w:br/>
        <w:tab/>
        <w:tab/>
      </w:r>
      <w:r>
        <w:rPr>
          <w:rFonts w:eastAsia="Arial Unicode MS" w:cs="Arial Unicode MS"/>
          <w:b/>
          <w:bCs/>
          <w:color w:val="00090F"/>
          <w:sz w:val="21"/>
          <w:szCs w:val="28"/>
        </w:rPr>
        <w:t>Test:</w:t>
      </w:r>
      <w:r>
        <w:rPr/>
        <w:t xml:space="preserve"> Ball aufheben rechts und links neben dem Antriebsrad </w:t>
      </w:r>
      <w:r>
        <w:rPr>
          <w:b/>
          <w:bCs/>
        </w:rPr>
        <w:t>nicht</w:t>
      </w:r>
      <w:r>
        <w:rPr/>
        <w:t xml:space="preserve"> möglich.</w:t>
      </w:r>
    </w:p>
    <w:p>
      <w:pPr>
        <w:pStyle w:val="TextBody"/>
        <w:rPr/>
      </w:pPr>
      <w:r>
        <w:rPr/>
        <w:t xml:space="preserve">– </w:t>
      </w:r>
      <w:r>
        <w:rPr/>
        <w:t xml:space="preserve">Rumpfkontrolle nach vorne und in der Rotation vollständig. </w:t>
        <w:br/>
        <w:t xml:space="preserve">   Der Spieler ist grundsätzlich auf den Rollstuhl angewiesen, kann aber evtl. stehen oder einige Schritte gehen.</w:t>
        <w:br/>
        <w:t>– Klassifizierung Rollstuhlbasketball: 2,5 bis 3,5 Punkte</w:t>
      </w:r>
    </w:p>
    <w:p>
      <w:pPr>
        <w:pStyle w:val="Heading3"/>
        <w:numPr>
          <w:ilvl w:val="2"/>
          <w:numId w:val="1"/>
        </w:numPr>
        <w:rPr/>
      </w:pPr>
      <w:r>
        <w:rPr>
          <w:rFonts w:eastAsia="Arial Unicode MS" w:cs="Arial Unicode MS"/>
          <w:b/>
          <w:bCs/>
          <w:color w:val="00090F"/>
          <w:sz w:val="21"/>
          <w:szCs w:val="28"/>
        </w:rPr>
        <w:t>3 Punkte:</w:t>
      </w:r>
      <w:r>
        <w:rPr/>
        <w:tab/>
      </w:r>
      <w:r>
        <w:rPr>
          <w:rFonts w:eastAsia="Arial Unicode MS" w:cs="Arial Unicode MS"/>
          <w:b/>
          <w:bCs/>
          <w:color w:val="00090F"/>
          <w:sz w:val="21"/>
          <w:szCs w:val="28"/>
        </w:rPr>
        <w:t>Test:</w:t>
      </w:r>
      <w:r>
        <w:rPr/>
        <w:t xml:space="preserve"> Ball aufheben vorne vor der Fußraste möglich.</w:t>
        <w:br/>
        <w:tab/>
        <w:tab/>
      </w:r>
      <w:r>
        <w:rPr>
          <w:rFonts w:eastAsia="Arial Unicode MS" w:cs="Arial Unicode MS"/>
          <w:b/>
          <w:bCs/>
          <w:color w:val="00090F"/>
          <w:sz w:val="21"/>
          <w:szCs w:val="28"/>
        </w:rPr>
        <w:t>Test:</w:t>
      </w:r>
      <w:r>
        <w:rPr/>
        <w:t xml:space="preserve"> Ball aufheben rechts oder links neben dem Antriebsrad möglich.</w:t>
      </w:r>
    </w:p>
    <w:p>
      <w:pPr>
        <w:pStyle w:val="TextBody"/>
        <w:rPr/>
      </w:pPr>
      <w:r>
        <w:rPr/>
        <w:t xml:space="preserve">– </w:t>
      </w:r>
      <w:r>
        <w:rPr/>
        <w:t>Fußgänger, nicht rollstuhlpflichtig.</w:t>
        <w:br/>
        <w:t>– Klassifizierung Rollstuhlbasketball: 4 bis 4,5 Punkte</w:t>
      </w:r>
    </w:p>
    <w:p>
      <w:pPr>
        <w:pStyle w:val="Heading3"/>
        <w:numPr>
          <w:ilvl w:val="2"/>
          <w:numId w:val="1"/>
        </w:numPr>
        <w:rPr/>
      </w:pPr>
      <w:r>
        <w:rPr>
          <w:b/>
          <w:bCs/>
        </w:rPr>
        <w:t>Bonus-Zusatz Behinderung:</w:t>
      </w:r>
      <w:r>
        <w:rPr/>
        <w:t xml:space="preserve"> 0,5 Punkte</w:t>
      </w:r>
    </w:p>
    <w:p>
      <w:pPr>
        <w:pStyle w:val="TextBody"/>
        <w:rPr/>
      </w:pPr>
      <w:r>
        <w:rPr/>
        <w:t>Gemeint sind alle zusätzlichen Behinderungen, die den Aktionsradius des Spielers einschränken und eine sehr deutliche Beeinträchtigung ergeben: Deutliche Behinderung an Armen oder Händen, die rotationseinschränkende Skoliose, Koordinationsstörungen, Gesichtsfeldeinschränkungen, Kleinwuchs, e</w:t>
      </w:r>
      <w:r>
        <w:rPr/>
        <w:t>tc</w:t>
      </w:r>
      <w:r>
        <w:rPr/>
        <w:t>.</w:t>
      </w:r>
    </w:p>
    <w:p>
      <w:pPr>
        <w:pStyle w:val="TextBody"/>
        <w:rPr/>
      </w:pPr>
      <w:r>
        <w:rPr/>
        <w:t xml:space="preserve">– </w:t>
      </w:r>
      <w:r>
        <w:rPr/>
        <w:t>Auf 1-Punkte-Spieler ist dieser Zusatz nicht anwendbar.</w:t>
      </w:r>
    </w:p>
    <w:p>
      <w:pPr>
        <w:pStyle w:val="Heading3"/>
        <w:numPr>
          <w:ilvl w:val="2"/>
          <w:numId w:val="1"/>
        </w:numPr>
        <w:rPr/>
      </w:pPr>
      <w:r>
        <w:rPr>
          <w:b/>
          <w:bCs/>
        </w:rPr>
        <w:t>Jugend-Bonus:</w:t>
      </w:r>
      <w:r>
        <w:rPr/>
        <w:t xml:space="preserve"> 0,5 Punkte</w:t>
      </w:r>
    </w:p>
    <w:p>
      <w:pPr>
        <w:pStyle w:val="TextBody"/>
        <w:rPr/>
      </w:pPr>
      <w:r>
        <w:rPr/>
        <w:t>Jugend-Bonus gilt für alle Spieler, die im Austragungsjahr 15 Jahre und jünger sind.</w:t>
      </w:r>
    </w:p>
    <w:p>
      <w:pPr>
        <w:pStyle w:val="TextBody"/>
        <w:rPr/>
      </w:pPr>
      <w:r>
        <w:rPr/>
        <w:t xml:space="preserve">Landesfinale </w:t>
      </w:r>
      <w:r>
        <w:rPr/>
        <w:t>20</w:t>
      </w:r>
      <w:r>
        <w:rPr/>
        <w:t>20</w:t>
      </w:r>
      <w:r>
        <w:rPr/>
        <w:t xml:space="preserve">: Startberechtigt Jg. </w:t>
      </w:r>
      <w:r>
        <w:rPr/>
        <w:t>200</w:t>
      </w:r>
      <w:r>
        <w:rPr/>
        <w:t>2</w:t>
      </w:r>
      <w:r>
        <w:rPr/>
        <w:t xml:space="preserve"> und jünger -&gt; </w:t>
      </w:r>
      <w:r>
        <w:rPr>
          <w:b/>
          <w:bCs/>
        </w:rPr>
        <w:t>Jugendbonus: 200</w:t>
      </w:r>
      <w:r>
        <w:rPr>
          <w:b/>
          <w:bCs/>
        </w:rPr>
        <w:t>5</w:t>
      </w:r>
      <w:r>
        <w:rPr>
          <w:b/>
          <w:bCs/>
        </w:rPr>
        <w:t xml:space="preserve"> und jünger.</w:t>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3402"/>
        <w:gridCol w:w="6804"/>
      </w:tblGrid>
      <w:tr>
        <w:trPr>
          <w:trHeight w:val="266" w:hRule="atLeast"/>
        </w:trPr>
        <w:tc>
          <w:tcPr>
            <w:tcW w:w="3402"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Meldetermin Landesfinale</w:t>
            </w:r>
          </w:p>
        </w:tc>
        <w:tc>
          <w:tcPr>
            <w:tcW w:w="68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1. November 201</w:t>
            </w:r>
            <w:r>
              <w:rPr>
                <w:b w:val="false"/>
                <w:bCs w:val="false"/>
                <w:i w:val="false"/>
                <w:iCs w:val="false"/>
                <w:strike w:val="false"/>
                <w:dstrike w:val="false"/>
                <w:outline w:val="false"/>
                <w:shadow w:val="false"/>
                <w:color w:val="CE181E"/>
                <w:position w:val="0"/>
                <w:sz w:val="16"/>
                <w:sz w:val="16"/>
                <w:szCs w:val="16"/>
                <w:u w:val="none"/>
                <w:vertAlign w:val="baseline"/>
              </w:rPr>
              <w:t>9</w:t>
            </w:r>
            <w:r>
              <w:rPr>
                <w:b w:val="false"/>
                <w:bCs w:val="false"/>
                <w:i w:val="false"/>
                <w:iCs w:val="false"/>
                <w:strike w:val="false"/>
                <w:dstrike w:val="false"/>
                <w:outline w:val="false"/>
                <w:shadow w:val="false"/>
                <w:color w:val="CE181E"/>
                <w:position w:val="0"/>
                <w:sz w:val="16"/>
                <w:sz w:val="16"/>
                <w:szCs w:val="16"/>
                <w:u w:val="none"/>
                <w:vertAlign w:val="baseline"/>
              </w:rPr>
              <w:t xml:space="preserve"> (Meldeformular)</w:t>
            </w:r>
          </w:p>
        </w:tc>
      </w:tr>
    </w:tbl>
    <w:p>
      <w:pPr>
        <w:pStyle w:val="Heading3"/>
        <w:numPr>
          <w:ilvl w:val="2"/>
          <w:numId w:val="1"/>
        </w:numPr>
        <w:rPr/>
      </w:pPr>
      <w:r>
        <w:rPr/>
        <w:t>Austragungstermine</w:t>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3402"/>
        <w:gridCol w:w="3402"/>
        <w:gridCol w:w="3402"/>
      </w:tblGrid>
      <w:tr>
        <w:trPr>
          <w:trHeight w:val="266" w:hRule="atLeast"/>
        </w:trPr>
        <w:tc>
          <w:tcPr>
            <w:tcW w:w="10206" w:type="dxa"/>
            <w:gridSpan w:val="3"/>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ind w:left="0" w:right="57" w:hanging="0"/>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 xml:space="preserve"> </w:t>
            </w:r>
            <w:r>
              <w:rPr>
                <w:b w:val="false"/>
                <w:bCs/>
                <w:i w:val="false"/>
                <w:iCs w:val="false"/>
                <w:strike w:val="false"/>
                <w:dstrike w:val="false"/>
                <w:outline w:val="false"/>
                <w:shadow w:val="false"/>
                <w:color w:val="FFFFFF"/>
                <w:sz w:val="18"/>
                <w:szCs w:val="16"/>
                <w:u w:val="none"/>
              </w:rPr>
              <w:t>Finals</w:t>
            </w:r>
          </w:p>
        </w:tc>
      </w:tr>
      <w:tr>
        <w:trPr>
          <w:trHeight w:val="266" w:hRule="atLeast"/>
        </w:trPr>
        <w:tc>
          <w:tcPr>
            <w:tcW w:w="3402"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Landesfinale</w:t>
            </w:r>
          </w:p>
        </w:tc>
        <w:tc>
          <w:tcPr>
            <w:tcW w:w="3402"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28.</w:t>
            </w:r>
            <w:r>
              <w:rPr>
                <w:b w:val="false"/>
                <w:bCs w:val="false"/>
                <w:i w:val="false"/>
                <w:iCs w:val="false"/>
                <w:strike w:val="false"/>
                <w:dstrike w:val="false"/>
                <w:outline w:val="false"/>
                <w:shadow w:val="false"/>
                <w:color w:val="CE181E"/>
                <w:sz w:val="16"/>
                <w:szCs w:val="16"/>
                <w:u w:val="none"/>
              </w:rPr>
              <w:t xml:space="preserve"> Januar 20</w:t>
            </w:r>
            <w:r>
              <w:rPr>
                <w:b w:val="false"/>
                <w:bCs w:val="false"/>
                <w:i w:val="false"/>
                <w:iCs w:val="false"/>
                <w:strike w:val="false"/>
                <w:dstrike w:val="false"/>
                <w:outline w:val="false"/>
                <w:shadow w:val="false"/>
                <w:color w:val="CE181E"/>
                <w:sz w:val="16"/>
                <w:szCs w:val="16"/>
                <w:u w:val="none"/>
              </w:rPr>
              <w:t>20</w:t>
            </w:r>
          </w:p>
        </w:tc>
        <w:tc>
          <w:tcPr>
            <w:tcW w:w="340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Stephen-Hawking Schule Neckargemünd</w:t>
            </w:r>
          </w:p>
        </w:tc>
      </w:tr>
      <w:tr>
        <w:trPr>
          <w:trHeight w:val="266" w:hRule="atLeast"/>
        </w:trPr>
        <w:tc>
          <w:tcPr>
            <w:tcW w:w="3402"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Bundesfinale</w:t>
            </w:r>
          </w:p>
        </w:tc>
        <w:tc>
          <w:tcPr>
            <w:tcW w:w="3402"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03</w:t>
            </w:r>
            <w:r>
              <w:rPr>
                <w:b w:val="false"/>
                <w:bCs w:val="false"/>
                <w:i w:val="false"/>
                <w:iCs w:val="false"/>
                <w:strike w:val="false"/>
                <w:dstrike w:val="false"/>
                <w:outline w:val="false"/>
                <w:shadow w:val="false"/>
                <w:color w:val="30393F"/>
                <w:sz w:val="16"/>
                <w:szCs w:val="16"/>
                <w:u w:val="none"/>
              </w:rPr>
              <w:t xml:space="preserve">. bis </w:t>
            </w:r>
            <w:r>
              <w:rPr>
                <w:b w:val="false"/>
                <w:bCs w:val="false"/>
                <w:i w:val="false"/>
                <w:iCs w:val="false"/>
                <w:strike w:val="false"/>
                <w:dstrike w:val="false"/>
                <w:outline w:val="false"/>
                <w:shadow w:val="false"/>
                <w:color w:val="30393F"/>
                <w:sz w:val="16"/>
                <w:szCs w:val="16"/>
                <w:u w:val="none"/>
              </w:rPr>
              <w:t>07</w:t>
            </w:r>
            <w:r>
              <w:rPr>
                <w:b w:val="false"/>
                <w:bCs w:val="false"/>
                <w:i w:val="false"/>
                <w:iCs w:val="false"/>
                <w:strike w:val="false"/>
                <w:dstrike w:val="false"/>
                <w:outline w:val="false"/>
                <w:shadow w:val="false"/>
                <w:color w:val="30393F"/>
                <w:sz w:val="16"/>
                <w:szCs w:val="16"/>
                <w:u w:val="none"/>
              </w:rPr>
              <w:t xml:space="preserve">. </w:t>
            </w:r>
            <w:r>
              <w:rPr>
                <w:b w:val="false"/>
                <w:bCs w:val="false"/>
                <w:i w:val="false"/>
                <w:iCs w:val="false"/>
                <w:strike w:val="false"/>
                <w:dstrike w:val="false"/>
                <w:outline w:val="false"/>
                <w:shadow w:val="false"/>
                <w:color w:val="30393F"/>
                <w:sz w:val="16"/>
                <w:szCs w:val="16"/>
                <w:u w:val="none"/>
              </w:rPr>
              <w:t>Mai</w:t>
            </w:r>
            <w:r>
              <w:rPr>
                <w:b w:val="false"/>
                <w:bCs w:val="false"/>
                <w:i w:val="false"/>
                <w:iCs w:val="false"/>
                <w:strike w:val="false"/>
                <w:dstrike w:val="false"/>
                <w:outline w:val="false"/>
                <w:shadow w:val="false"/>
                <w:color w:val="30393F"/>
                <w:sz w:val="16"/>
                <w:szCs w:val="16"/>
                <w:u w:val="none"/>
              </w:rPr>
              <w:t xml:space="preserve"> 20</w:t>
            </w:r>
            <w:r>
              <w:rPr>
                <w:b w:val="false"/>
                <w:bCs w:val="false"/>
                <w:i w:val="false"/>
                <w:iCs w:val="false"/>
                <w:strike w:val="false"/>
                <w:dstrike w:val="false"/>
                <w:outline w:val="false"/>
                <w:shadow w:val="false"/>
                <w:color w:val="30393F"/>
                <w:sz w:val="16"/>
                <w:szCs w:val="16"/>
                <w:u w:val="none"/>
              </w:rPr>
              <w:t>22</w:t>
            </w:r>
          </w:p>
        </w:tc>
        <w:tc>
          <w:tcPr>
            <w:tcW w:w="340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Frühjahrsfinale in Berlin</w:t>
            </w:r>
          </w:p>
        </w:tc>
      </w:tr>
    </w:tbl>
    <w:p>
      <w:pPr>
        <w:pStyle w:val="TextBody"/>
        <w:rPr/>
      </w:pPr>
      <w:r>
        <w:rPr/>
      </w:r>
    </w:p>
    <w:p>
      <w:pPr>
        <w:pStyle w:val="Hinweis"/>
        <w:rPr/>
      </w:pPr>
      <w:r>
        <w:rPr/>
        <w:t>Achtung:</w:t>
        <w:br/>
        <w:t>Spätere Änderungen in Wettkampfklassen und Terminen sind möglich.</w:t>
        <w:br/>
        <w:t xml:space="preserve">Bitte beachten Sie die aktualisierten Wettkampfdaten und Termine auf </w:t>
        <w:br/>
        <w:t>www.machmit-bw.de/jugend-trainiert/paralympics/rollstuhlbasketball-</w:t>
      </w:r>
      <w:r>
        <w:rPr/>
        <w:t>para</w:t>
      </w:r>
    </w:p>
    <w:p>
      <w:pPr>
        <w:pStyle w:val="TextBody"/>
        <w:rPr>
          <w:b/>
          <w:b/>
          <w:bCs/>
        </w:rPr>
      </w:pPr>
      <w:r>
        <w:rPr>
          <w:b/>
          <w:bCs/>
        </w:rPr>
      </w:r>
    </w:p>
    <w:p>
      <w:pPr>
        <w:pStyle w:val="TextBody"/>
        <w:spacing w:before="0" w:after="96"/>
        <w:rPr/>
      </w:pPr>
      <w:r>
        <w:rPr>
          <w:b/>
          <w:bCs/>
        </w:rPr>
        <w:t>Ansprechpartner:</w:t>
      </w:r>
      <w:r>
        <w:rPr/>
        <w:tab/>
        <w:tab/>
        <w:tab/>
        <w:t>Verena Leutz</w:t>
        <w:tab/>
        <w:tab/>
        <w:tab/>
        <w:tab/>
        <w:t>Verena.leutz@shs.srh.de</w:t>
      </w:r>
    </w:p>
    <w:sectPr>
      <w:headerReference w:type="first" r:id="rId5"/>
      <w:footerReference w:type="default" r:id="rId6"/>
      <w:type w:val="nextPage"/>
      <w:pgSz w:w="11906" w:h="16838"/>
      <w:pgMar w:left="850" w:right="850" w:header="0" w:top="850" w:footer="680" w:bottom="1530"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HelveticaNeue">
    <w:charset w:val="01"/>
    <w:family w:val="roman"/>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Rollstuhlbasketball Para</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decimal"/>
      <w:lvlText w:val="%2"/>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upperLetter"/>
      <w:lvlText w:val="%1: "/>
      <w:lvlJc w:val="left"/>
      <w:pPr>
        <w:tabs>
          <w:tab w:val="num" w:pos="1134"/>
        </w:tabs>
        <w:ind w:left="1134" w:hanging="567"/>
      </w:pPr>
      <w:rPr/>
    </w:lvl>
    <w:lvl w:ilvl="1">
      <w:start w:val="2"/>
      <w:numFmt w:val="upperLetter"/>
      <w:lvlText w:val="%2: "/>
      <w:lvlJc w:val="left"/>
      <w:pPr>
        <w:tabs>
          <w:tab w:val="num" w:pos="1134"/>
        </w:tabs>
        <w:ind w:left="1134" w:hanging="567"/>
      </w:pPr>
      <w:rPr/>
    </w:lvl>
    <w:lvl w:ilvl="2">
      <w:start w:val="3"/>
      <w:numFmt w:val="upperLetter"/>
      <w:lvlText w:val="%3: "/>
      <w:lvlJc w:val="left"/>
      <w:pPr>
        <w:tabs>
          <w:tab w:val="num" w:pos="1134"/>
        </w:tabs>
        <w:ind w:left="1134" w:hanging="567"/>
      </w:pPr>
      <w:rPr/>
    </w:lvl>
    <w:lvl w:ilvl="3">
      <w:start w:val="4"/>
      <w:numFmt w:val="upperLetter"/>
      <w:lvlText w:val="%4: "/>
      <w:lvlJc w:val="left"/>
      <w:pPr>
        <w:tabs>
          <w:tab w:val="num" w:pos="1134"/>
        </w:tabs>
        <w:ind w:left="1134" w:hanging="567"/>
      </w:pPr>
      <w:rPr/>
    </w:lvl>
    <w:lvl w:ilvl="4">
      <w:start w:val="5"/>
      <w:numFmt w:val="upperLetter"/>
      <w:lvlText w:val="%5: "/>
      <w:lvlJc w:val="left"/>
      <w:pPr>
        <w:tabs>
          <w:tab w:val="num" w:pos="1134"/>
        </w:tabs>
        <w:ind w:left="1134" w:hanging="567"/>
      </w:pPr>
      <w:rPr/>
    </w:lvl>
    <w:lvl w:ilvl="5">
      <w:start w:val="6"/>
      <w:numFmt w:val="upperLetter"/>
      <w:lvlText w:val="%6: "/>
      <w:lvlJc w:val="left"/>
      <w:pPr>
        <w:tabs>
          <w:tab w:val="num" w:pos="1134"/>
        </w:tabs>
        <w:ind w:left="1134" w:hanging="567"/>
      </w:pPr>
      <w:rPr/>
    </w:lvl>
    <w:lvl w:ilvl="6">
      <w:start w:val="7"/>
      <w:numFmt w:val="upperLetter"/>
      <w:lvlText w:val="%7: "/>
      <w:lvlJc w:val="left"/>
      <w:pPr>
        <w:tabs>
          <w:tab w:val="num" w:pos="1134"/>
        </w:tabs>
        <w:ind w:left="1134" w:hanging="567"/>
      </w:pPr>
      <w:rPr/>
    </w:lvl>
    <w:lvl w:ilvl="7">
      <w:start w:val="8"/>
      <w:numFmt w:val="upperLetter"/>
      <w:lvlText w:val="%8: "/>
      <w:lvlJc w:val="left"/>
      <w:pPr>
        <w:tabs>
          <w:tab w:val="num" w:pos="1134"/>
        </w:tabs>
        <w:ind w:left="1134" w:hanging="567"/>
      </w:pPr>
      <w:rPr/>
    </w:lvl>
    <w:lvl w:ilvl="8">
      <w:start w:val="9"/>
      <w:numFmt w:val="upperLetter"/>
      <w:lvlText w:val="%9: "/>
      <w:lvlJc w:val="left"/>
      <w:pPr>
        <w:tabs>
          <w:tab w:val="num" w:pos="1134"/>
        </w:tabs>
        <w:ind w:left="1134" w:hanging="567"/>
      </w:pPr>
      <w:rPr/>
    </w:lvl>
  </w:abstractNum>
  <w:abstractNum w:abstractNumId="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2.%3."/>
      <w:lvlJc w:val="left"/>
      <w:pPr>
        <w:tabs>
          <w:tab w:val="num" w:pos="567"/>
        </w:tabs>
        <w:ind w:left="567" w:hanging="567"/>
      </w:pPr>
    </w:lvl>
    <w:lvl w:ilvl="3">
      <w:start w:val="1"/>
      <w:numFmt w:val="decimal"/>
      <w:lvlText w:val="%3.%4."/>
      <w:lvlJc w:val="left"/>
      <w:pPr>
        <w:tabs>
          <w:tab w:val="num" w:pos="567"/>
        </w:tabs>
        <w:ind w:left="567" w:hanging="567"/>
      </w:pPr>
    </w:lvl>
    <w:lvl w:ilvl="4">
      <w:start w:val="1"/>
      <w:numFmt w:val="decimal"/>
      <w:lvlText w:val="%4.%5."/>
      <w:lvlJc w:val="left"/>
      <w:pPr>
        <w:tabs>
          <w:tab w:val="num" w:pos="567"/>
        </w:tabs>
        <w:ind w:left="567" w:hanging="567"/>
      </w:pPr>
    </w:lvl>
    <w:lvl w:ilvl="5">
      <w:start w:val="1"/>
      <w:numFmt w:val="decimal"/>
      <w:lvlText w:val="%5.%6."/>
      <w:lvlJc w:val="left"/>
      <w:pPr>
        <w:tabs>
          <w:tab w:val="num" w:pos="567"/>
        </w:tabs>
        <w:ind w:left="567" w:hanging="567"/>
      </w:pPr>
    </w:lvl>
    <w:lvl w:ilvl="6">
      <w:start w:val="1"/>
      <w:numFmt w:val="decimal"/>
      <w:lvlText w:val="%6.%7."/>
      <w:lvlJc w:val="left"/>
      <w:pPr>
        <w:tabs>
          <w:tab w:val="num" w:pos="567"/>
        </w:tabs>
        <w:ind w:left="567" w:hanging="567"/>
      </w:pPr>
    </w:lvl>
    <w:lvl w:ilvl="7">
      <w:start w:val="1"/>
      <w:numFmt w:val="decimal"/>
      <w:lvlText w:val="%7.%8."/>
      <w:lvlJc w:val="left"/>
      <w:pPr>
        <w:tabs>
          <w:tab w:val="num" w:pos="567"/>
        </w:tabs>
        <w:ind w:left="567" w:hanging="567"/>
      </w:pPr>
    </w:lvl>
    <w:lvl w:ilvl="8">
      <w:start w:val="1"/>
      <w:numFmt w:val="decimal"/>
      <w:lvlText w:val="%8.%9."/>
      <w:lvlJc w:val="left"/>
      <w:pPr>
        <w:tabs>
          <w:tab w:val="num" w:pos="567"/>
        </w:tabs>
        <w:ind w:left="567" w:hanging="567"/>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rs-rbb.de/" TargetMode="External"/><Relationship Id="rId3" Type="http://schemas.openxmlformats.org/officeDocument/2006/relationships/hyperlink" Target="http://www.drs-rbb.de/" TargetMode="External"/><Relationship Id="rId4" Type="http://schemas.openxmlformats.org/officeDocument/2006/relationships/hyperlink" Target="http://www.drs-rbb.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2757</TotalTime>
  <Application>LibreOffice/6.0.5.2$MacOSX_X86_64 LibreOffice_project/54c8cbb85f300ac59db32fe8a675ff7683cd5a16</Application>
  <Pages>3</Pages>
  <Words>816</Words>
  <Characters>5511</Characters>
  <CharactersWithSpaces>6289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2021-07-19T09:16:11Z</dcterms:modified>
  <cp:revision>99</cp:revision>
  <dc:subject/>
  <dc:title/>
</cp:coreProperties>
</file>