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Rhythmische Sportgymnastik</w:t>
            </w:r>
          </w:p>
        </w:tc>
      </w:tr>
    </w:tbl>
    <w:p>
      <w:pPr>
        <w:pStyle w:val="Wrap"/>
        <w:rPr/>
      </w:pPr>
      <w:r>
        <w:rPr/>
      </w:r>
    </w:p>
    <w:tbl>
      <w:tblPr>
        <w:tblW w:w="10211" w:type="dxa"/>
        <w:jc w:val="left"/>
        <w:tblInd w:w="0" w:type="dxa"/>
        <w:tblBorders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28" w:type="dxa"/>
          <w:left w:w="54" w:type="dxa"/>
          <w:bottom w:w="28" w:type="dxa"/>
          <w:right w:w="28" w:type="dxa"/>
        </w:tblCellMar>
      </w:tblPr>
      <w:tblGrid>
        <w:gridCol w:w="1363"/>
        <w:gridCol w:w="3882"/>
        <w:gridCol w:w="4966"/>
      </w:tblGrid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30393F" w:val="clear"/>
            <w:vAlign w:val="center"/>
          </w:tcPr>
          <w:p>
            <w:pPr>
              <w:pStyle w:val="TableHeading"/>
              <w:spacing w:before="57" w:after="57"/>
              <w:rPr>
                <w:bCs w:val="false"/>
                <w:color w:val="FFFFFF"/>
                <w:sz w:val="16"/>
                <w:szCs w:val="16"/>
              </w:rPr>
            </w:pPr>
            <w:r>
              <w:rPr>
                <w:bCs w:val="false"/>
                <w:color w:val="FFFFFF"/>
                <w:sz w:val="16"/>
                <w:szCs w:val="16"/>
              </w:rPr>
              <w:t>Wettkampf</w:t>
            </w:r>
          </w:p>
        </w:tc>
        <w:tc>
          <w:tcPr>
            <w:tcW w:w="3882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30393F" w:val="clear"/>
            <w:vAlign w:val="center"/>
          </w:tcPr>
          <w:p>
            <w:pPr>
              <w:pStyle w:val="TableHeading"/>
              <w:spacing w:before="57" w:after="57"/>
              <w:rPr>
                <w:bCs w:val="false"/>
                <w:color w:val="FFFFFF"/>
                <w:sz w:val="16"/>
                <w:szCs w:val="16"/>
              </w:rPr>
            </w:pPr>
            <w:r>
              <w:rPr>
                <w:bCs w:val="false"/>
                <w:color w:val="FFFFFF"/>
                <w:sz w:val="16"/>
                <w:szCs w:val="16"/>
              </w:rPr>
              <w:t>Duo-Wettkampf (2 Gymnastinnen)</w:t>
            </w:r>
          </w:p>
        </w:tc>
        <w:tc>
          <w:tcPr>
            <w:tcW w:w="496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30393F" w:val="clear"/>
            <w:vAlign w:val="center"/>
          </w:tcPr>
          <w:p>
            <w:pPr>
              <w:pStyle w:val="TableHeading"/>
              <w:spacing w:before="57" w:after="57"/>
              <w:rPr>
                <w:bCs w:val="false"/>
                <w:color w:val="FFFFFF"/>
                <w:sz w:val="16"/>
                <w:szCs w:val="16"/>
              </w:rPr>
            </w:pPr>
            <w:r>
              <w:rPr>
                <w:bCs w:val="false"/>
                <w:color w:val="FFFFFF"/>
                <w:sz w:val="16"/>
                <w:szCs w:val="16"/>
              </w:rPr>
              <w:t>Gruppen-Wettkampf (3–6 Gymnastinnen)</w:t>
            </w:r>
          </w:p>
        </w:tc>
      </w:tr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0BBCC" w:val="clear"/>
            <w:tcMar>
              <w:right w:w="57" w:type="dxa"/>
            </w:tcMar>
            <w:vAlign w:val="center"/>
          </w:tcPr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  <w:t>WK I</w:t>
            </w:r>
          </w:p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</w:r>
          </w:p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</w:r>
          </w:p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</w:r>
          </w:p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</w:r>
          </w:p>
        </w:tc>
        <w:tc>
          <w:tcPr>
            <w:tcW w:w="3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57" w:after="0"/>
              <w:jc w:val="center"/>
              <w:rPr>
                <w:szCs w:val="16"/>
              </w:rPr>
            </w:pPr>
            <w:r>
              <w:rPr>
                <w:szCs w:val="16"/>
              </w:rPr>
              <w:t>–</w:t>
            </w:r>
          </w:p>
        </w:tc>
        <w:tc>
          <w:tcPr>
            <w:tcW w:w="4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57" w:after="0"/>
              <w:rPr/>
            </w:pPr>
            <w:r>
              <w:rPr>
                <w:b/>
                <w:szCs w:val="16"/>
              </w:rPr>
              <w:t>Kombinationswettkamp</w:t>
            </w:r>
            <w:r>
              <w:rPr>
                <w:szCs w:val="16"/>
              </w:rPr>
              <w:t>f in der Gruppe</w:t>
            </w:r>
          </w:p>
          <w:p>
            <w:pPr>
              <w:pStyle w:val="TableContents"/>
              <w:spacing w:before="57" w:after="0"/>
              <w:rPr/>
            </w:pPr>
            <w:r>
              <w:rPr>
                <w:rFonts w:eastAsia="Helvetica Neue;Times New Roman"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1. Pflicht-Einzel </w:t>
            </w:r>
            <w:r>
              <w:rPr>
                <w:b/>
                <w:bCs/>
                <w:szCs w:val="16"/>
              </w:rPr>
              <w:t>Reifen</w:t>
            </w:r>
            <w:r>
              <w:rPr>
                <w:b/>
                <w:szCs w:val="16"/>
              </w:rPr>
              <w:t xml:space="preserve"> P5</w:t>
            </w:r>
            <w:r>
              <w:rPr>
                <w:szCs w:val="16"/>
              </w:rPr>
              <w:t xml:space="preserve"> (DTB 2018)</w:t>
            </w:r>
          </w:p>
          <w:p>
            <w:pPr>
              <w:pStyle w:val="TableContents"/>
              <w:spacing w:before="57" w:after="0"/>
              <w:rPr/>
            </w:pPr>
            <w:r>
              <w:rPr>
                <w:rFonts w:eastAsia="Helvetica Neue;Times New Roman"/>
                <w:szCs w:val="16"/>
              </w:rPr>
              <w:t xml:space="preserve"> </w:t>
            </w:r>
            <w:r>
              <w:rPr>
                <w:b/>
                <w:szCs w:val="16"/>
              </w:rPr>
              <w:t>2. Gruppe Band</w:t>
            </w:r>
            <w:r>
              <w:rPr>
                <w:szCs w:val="16"/>
              </w:rPr>
              <w:t>, Kürgestaltung mit Pflichtelementen</w:t>
            </w:r>
          </w:p>
          <w:p>
            <w:pPr>
              <w:pStyle w:val="TableContents"/>
              <w:spacing w:before="57" w:after="0"/>
              <w:rPr/>
            </w:pPr>
            <w:r>
              <w:rPr>
                <w:rFonts w:eastAsia="Helvetica Neue;Times New Roman"/>
                <w:szCs w:val="16"/>
              </w:rPr>
              <w:t xml:space="preserve">     </w:t>
            </w:r>
            <w:r>
              <w:rPr>
                <w:szCs w:val="16"/>
              </w:rPr>
              <w:t>Musik: 1:30 – 2:00 Min.</w:t>
            </w:r>
          </w:p>
          <w:p>
            <w:pPr>
              <w:pStyle w:val="TableContents"/>
              <w:spacing w:before="57" w:after="0"/>
              <w:rPr>
                <w:szCs w:val="16"/>
              </w:rPr>
            </w:pPr>
            <w:r>
              <w:rPr>
                <w:szCs w:val="16"/>
              </w:rPr>
            </w:r>
          </w:p>
        </w:tc>
      </w:tr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0BBCC" w:val="clear"/>
            <w:tcMar>
              <w:right w:w="57" w:type="dxa"/>
            </w:tcMar>
            <w:vAlign w:val="center"/>
          </w:tcPr>
          <w:p>
            <w:pPr>
              <w:pStyle w:val="TableHeading"/>
              <w:spacing w:before="0" w:after="57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  <w:t>WK II</w:t>
            </w:r>
          </w:p>
        </w:tc>
        <w:tc>
          <w:tcPr>
            <w:tcW w:w="3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0" w:after="57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Duo Band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Kürgestaltung mit Pflichtelementen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Musik: 1:00 - 1:30 Min.</w:t>
            </w:r>
          </w:p>
        </w:tc>
        <w:tc>
          <w:tcPr>
            <w:tcW w:w="4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0" w:after="57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Gruppe Seil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 xml:space="preserve">Kürgestaltung mit Pflichtelementen 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Musik: 1:30 – 2:00 Min.</w:t>
            </w:r>
          </w:p>
        </w:tc>
      </w:tr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0BBCC" w:val="clear"/>
            <w:tcMar>
              <w:right w:w="57" w:type="dxa"/>
            </w:tcMar>
            <w:vAlign w:val="center"/>
          </w:tcPr>
          <w:p>
            <w:pPr>
              <w:pStyle w:val="TableHeading"/>
              <w:spacing w:before="0" w:after="57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  <w:t>WK III</w:t>
            </w:r>
          </w:p>
        </w:tc>
        <w:tc>
          <w:tcPr>
            <w:tcW w:w="3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0" w:after="57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Duo Ball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Kürgestaltung mit Pflichtelementen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Musik: 1:00 - 1:30 Min.</w:t>
            </w:r>
          </w:p>
        </w:tc>
        <w:tc>
          <w:tcPr>
            <w:tcW w:w="4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0" w:after="57"/>
              <w:rPr/>
            </w:pPr>
            <w:r>
              <w:rPr>
                <w:b/>
                <w:bCs/>
                <w:szCs w:val="16"/>
              </w:rPr>
              <w:t>Gruppe Reifen</w:t>
            </w:r>
            <w:r>
              <w:rPr>
                <w:b/>
                <w:szCs w:val="16"/>
              </w:rPr>
              <w:t xml:space="preserve">  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 xml:space="preserve">Kürgestaltung mit Pflichtelementen </w:t>
            </w:r>
          </w:p>
          <w:p>
            <w:pPr>
              <w:pStyle w:val="TableContents"/>
              <w:spacing w:before="0" w:after="57"/>
              <w:rPr>
                <w:szCs w:val="16"/>
              </w:rPr>
            </w:pPr>
            <w:r>
              <w:rPr>
                <w:szCs w:val="16"/>
              </w:rPr>
              <w:t>Musik: 1:30 – 2:00 Min.</w:t>
            </w:r>
          </w:p>
        </w:tc>
      </w:tr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0BBCC" w:val="clear"/>
            <w:tcMar>
              <w:right w:w="57" w:type="dxa"/>
            </w:tcMar>
            <w:vAlign w:val="center"/>
          </w:tcPr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  <w:t>WK IV</w:t>
            </w:r>
          </w:p>
        </w:tc>
        <w:tc>
          <w:tcPr>
            <w:tcW w:w="3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Fonts w:eastAsia="Helvetica Neue;Times New Roman"/>
                <w:szCs w:val="16"/>
              </w:rPr>
              <w:t xml:space="preserve">  </w:t>
            </w:r>
            <w:r>
              <w:rPr>
                <w:b/>
                <w:szCs w:val="16"/>
              </w:rPr>
              <w:t xml:space="preserve">Synchron Seil P5 </w:t>
            </w:r>
          </w:p>
          <w:p>
            <w:pPr>
              <w:pStyle w:val="TableContents"/>
              <w:spacing w:before="57" w:after="0"/>
              <w:ind w:left="0" w:right="57" w:hanging="0"/>
              <w:rPr>
                <w:szCs w:val="16"/>
              </w:rPr>
            </w:pPr>
            <w:r>
              <w:rPr>
                <w:rFonts w:eastAsia="Helvetica Neue;Times New Roman"/>
                <w:szCs w:val="16"/>
              </w:rPr>
              <w:t xml:space="preserve">  </w:t>
            </w:r>
            <w:r>
              <w:rPr>
                <w:szCs w:val="16"/>
              </w:rPr>
              <w:t>Pflichtübung (DTB 2018)</w:t>
            </w:r>
          </w:p>
        </w:tc>
        <w:tc>
          <w:tcPr>
            <w:tcW w:w="4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b/>
                <w:bCs/>
                <w:szCs w:val="16"/>
              </w:rPr>
              <w:t>Gruppe Ball</w:t>
            </w:r>
            <w:r>
              <w:rPr>
                <w:b/>
                <w:szCs w:val="16"/>
              </w:rPr>
              <w:t xml:space="preserve"> P 4</w:t>
            </w:r>
            <w:r>
              <w:rPr>
                <w:szCs w:val="16"/>
              </w:rPr>
              <w:t xml:space="preserve"> (DTB 2018)</w:t>
            </w:r>
          </w:p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Fonts w:eastAsia="Helvetica Neue;Times New Roman"/>
                <w:szCs w:val="16"/>
              </w:rPr>
              <w:t xml:space="preserve"> </w:t>
            </w:r>
            <w:r>
              <w:rPr>
                <w:szCs w:val="16"/>
              </w:rPr>
              <w:t>(ähnlich STB Pokal-Gruppenwettkampf)</w:t>
            </w:r>
          </w:p>
          <w:p>
            <w:pPr>
              <w:pStyle w:val="TableContents"/>
              <w:spacing w:before="57" w:after="0"/>
              <w:rPr>
                <w:szCs w:val="16"/>
              </w:rPr>
            </w:pPr>
            <w:r>
              <w:rPr>
                <w:szCs w:val="16"/>
              </w:rPr>
              <w:t>Musik:  1:00 – 1:30 Min.</w:t>
            </w:r>
          </w:p>
        </w:tc>
      </w:tr>
      <w:tr>
        <w:trPr/>
        <w:tc>
          <w:tcPr>
            <w:tcW w:w="1363" w:type="dxa"/>
            <w:tcBorders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0BBCC" w:val="clear"/>
            <w:tcMar>
              <w:right w:w="57" w:type="dxa"/>
            </w:tcMar>
            <w:vAlign w:val="center"/>
          </w:tcPr>
          <w:p>
            <w:pPr>
              <w:pStyle w:val="TableHeading"/>
              <w:spacing w:before="57" w:after="0"/>
              <w:rPr>
                <w:bCs w:val="false"/>
                <w:color w:val="000000"/>
                <w:sz w:val="16"/>
                <w:szCs w:val="16"/>
              </w:rPr>
            </w:pPr>
            <w:r>
              <w:rPr>
                <w:bCs w:val="false"/>
                <w:color w:val="000000"/>
                <w:sz w:val="16"/>
                <w:szCs w:val="16"/>
              </w:rPr>
              <w:t>WK V</w:t>
            </w:r>
          </w:p>
        </w:tc>
        <w:tc>
          <w:tcPr>
            <w:tcW w:w="38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lineRule="auto" w:line="360" w:before="57" w:after="0"/>
              <w:rPr/>
            </w:pPr>
            <w:r>
              <w:rPr>
                <w:b/>
                <w:szCs w:val="16"/>
              </w:rPr>
              <w:t xml:space="preserve">Synchron </w:t>
            </w:r>
            <w:r>
              <w:rPr>
                <w:b/>
                <w:bCs/>
                <w:szCs w:val="16"/>
              </w:rPr>
              <w:t>Ball</w:t>
            </w:r>
            <w:r>
              <w:rPr>
                <w:b/>
                <w:szCs w:val="16"/>
              </w:rPr>
              <w:t xml:space="preserve"> P4  </w:t>
            </w:r>
            <w:r>
              <w:rPr>
                <w:szCs w:val="16"/>
              </w:rPr>
              <w:br/>
              <w:t>Pflichtübung (DTB 2018)</w:t>
            </w:r>
          </w:p>
        </w:tc>
        <w:tc>
          <w:tcPr>
            <w:tcW w:w="49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F0F9FF" w:val="clear"/>
            <w:tcMar>
              <w:right w:w="57" w:type="dxa"/>
            </w:tcMar>
            <w:vAlign w:val="center"/>
          </w:tcPr>
          <w:p>
            <w:pPr>
              <w:pStyle w:val="TableContents"/>
              <w:spacing w:before="57" w:after="0"/>
              <w:jc w:val="center"/>
              <w:rPr>
                <w:szCs w:val="16"/>
              </w:rPr>
            </w:pPr>
            <w:r>
              <w:rPr>
                <w:szCs w:val="16"/>
              </w:rPr>
              <w:t>–</w:t>
            </w:r>
          </w:p>
        </w:tc>
      </w:tr>
      <w:tr>
        <w:trPr>
          <w:trHeight w:val="398" w:hRule="atLeast"/>
        </w:trPr>
        <w:tc>
          <w:tcPr>
            <w:tcW w:w="10211" w:type="dxa"/>
            <w:gridSpan w:val="3"/>
            <w:tcBorders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30393F" w:val="clear"/>
            <w:vAlign w:val="center"/>
          </w:tcPr>
          <w:p>
            <w:pPr>
              <w:pStyle w:val="TableHeading"/>
              <w:spacing w:before="57" w:after="57"/>
              <w:ind w:left="0" w:right="57" w:hanging="0"/>
              <w:rPr>
                <w:color w:val="FFFFFF"/>
              </w:rPr>
            </w:pPr>
            <w:r>
              <w:rPr>
                <w:color w:val="FFFFFF"/>
              </w:rPr>
              <w:t>Detaillierte Inhalte in „Ausschreibung der Wettbewerbe Baden-Württemberg 2020“. Bitte bei der Landesbeauftragten anfordern.</w:t>
            </w:r>
          </w:p>
        </w:tc>
      </w:tr>
    </w:tbl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Hinweis"/>
        <w:rPr/>
      </w:pPr>
      <w:r>
        <w:rPr/>
        <w:t xml:space="preserve">Wichtiger Hinweis: </w:t>
      </w:r>
    </w:p>
    <w:p>
      <w:pPr>
        <w:pStyle w:val="Hinweis"/>
        <w:rPr/>
      </w:pPr>
      <w:r>
        <w:rPr/>
        <w:t>Ab sofort gelten die neuen Übungen des DTB (2018)</w:t>
        <w:br/>
        <w:t>Abiturientinnen 202</w:t>
      </w:r>
      <w:r>
        <w:rPr/>
        <w:t>2</w:t>
      </w:r>
      <w:r>
        <w:rPr/>
        <w:t xml:space="preserve"> können im Schuljahr 20</w:t>
      </w:r>
      <w:r>
        <w:rPr/>
        <w:t>21</w:t>
      </w:r>
      <w:r>
        <w:rPr/>
        <w:t>/202</w:t>
      </w:r>
      <w:r>
        <w:rPr/>
        <w:t>2</w:t>
      </w:r>
      <w:r>
        <w:rPr/>
        <w:t xml:space="preserve"> nicht mehr beim Landesfinale starten.</w:t>
      </w:r>
    </w:p>
    <w:p>
      <w:pPr>
        <w:pStyle w:val="Heading3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Inhalt</w:t>
      </w:r>
    </w:p>
    <w:p>
      <w:pPr>
        <w:pStyle w:val="TextBody"/>
        <w:rPr/>
      </w:pPr>
      <w:r>
        <w:rPr/>
        <w:t>Alle Pflichtübungen entsprechen den Übungen des DTB (Aufgabenbuch Gymnastik 2018).</w:t>
      </w:r>
    </w:p>
    <w:p>
      <w:pPr>
        <w:pStyle w:val="TextBody"/>
        <w:rPr/>
      </w:pPr>
      <w:r>
        <w:rPr/>
        <w:t>Alle Pflichtsequenzen für die Kürübungen entsprechen entweder den aktuellen Abi-Pflicht-Sequenzen</w:t>
      </w:r>
    </w:p>
    <w:p>
      <w:pPr>
        <w:pStyle w:val="TextBody"/>
        <w:rPr/>
      </w:pPr>
      <w:r>
        <w:rPr/>
        <w:t xml:space="preserve">oder sind Auszüge aus Pflichtübungen des DTB. Die Details sind in der </w:t>
      </w:r>
      <w:r>
        <w:rPr>
          <w:b/>
          <w:bCs/>
        </w:rPr>
        <w:t>Ausschreibung der Wettbewerbe Baden-Württemberg 2020</w:t>
      </w:r>
      <w:r>
        <w:rPr/>
        <w:t xml:space="preserve"> nachzulesen. Diese Ausschreibung und zusätzliche Hilfsmaterialen (z.B. Pflichtmusik und Videomaterial) können bei der </w:t>
      </w:r>
      <w:r>
        <w:rPr>
          <w:b/>
          <w:bCs/>
        </w:rPr>
        <w:t>Landesbeauftragten</w:t>
      </w:r>
      <w:r>
        <w:rPr/>
        <w:t xml:space="preserve"> angefordert werden.</w:t>
      </w:r>
    </w:p>
    <w:p>
      <w:pPr>
        <w:pStyle w:val="Heading3"/>
        <w:numPr>
          <w:ilvl w:val="0"/>
          <w:numId w:val="2"/>
        </w:numPr>
        <w:rPr/>
      </w:pPr>
      <w:r>
        <w:rPr/>
        <w:t>Mannschaftszusammensetzung </w:t>
      </w:r>
    </w:p>
    <w:p>
      <w:pPr>
        <w:pStyle w:val="TextBody"/>
        <w:rPr/>
      </w:pPr>
      <w:r>
        <w:rPr/>
        <w:t xml:space="preserve">Bei den </w:t>
      </w:r>
      <w:r>
        <w:rPr>
          <w:b/>
          <w:bCs/>
        </w:rPr>
        <w:t>Synchron- und Duo-Wettkämpfen</w:t>
      </w:r>
      <w:r>
        <w:rPr/>
        <w:t xml:space="preserve"> bilden je zwei Mädchen eine Mannschaft, bei den </w:t>
      </w:r>
      <w:r>
        <w:rPr>
          <w:b/>
          <w:bCs/>
        </w:rPr>
        <w:t>Gruppenwettkämpfen</w:t>
      </w:r>
      <w:r>
        <w:rPr/>
        <w:t xml:space="preserve"> kann die Zahl der Gymnastinnen zwischen drei und sechs variieren.</w:t>
      </w:r>
    </w:p>
    <w:p>
      <w:pPr>
        <w:pStyle w:val="TextBody"/>
        <w:rPr/>
      </w:pPr>
      <w:r>
        <w:rPr/>
        <w:t xml:space="preserve">Im </w:t>
      </w:r>
      <w:r>
        <w:rPr>
          <w:b/>
          <w:bCs/>
        </w:rPr>
        <w:t>WK I</w:t>
      </w:r>
      <w:r>
        <w:rPr/>
        <w:t xml:space="preserve"> turnen drei oder vier Mädchen die Einzelübung, die drei besten Wertungen zählen zum Mann-    schaftsergebnis. Die Gruppenübung kann dann mit maximal 6 Gymnastinnen geturnt werden. </w:t>
      </w:r>
      <w:r>
        <w:rPr>
          <w:b/>
          <w:bCs/>
        </w:rPr>
        <w:t>Kooperationsteams</w:t>
      </w:r>
      <w:r>
        <w:rPr/>
        <w:t xml:space="preserve"> verschiedener Schulen sind in Absprache mit den jeweiligen RB-Beauftragten möglich. Priorität haben Teams aus der gleichen Schule.</w:t>
      </w:r>
    </w:p>
    <w:p>
      <w:pPr>
        <w:pStyle w:val="Heading3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Doppelstart</w:t>
      </w:r>
    </w:p>
    <w:p>
      <w:pPr>
        <w:pStyle w:val="TextBody"/>
        <w:rPr/>
      </w:pPr>
      <w:r>
        <w:rPr/>
        <w:t xml:space="preserve">Jede Gymnastin darf in einem Duo-Wettbewerb </w:t>
      </w:r>
      <w:r>
        <w:rPr>
          <w:b/>
          <w:bCs/>
        </w:rPr>
        <w:t>und</w:t>
      </w:r>
      <w:r>
        <w:rPr/>
        <w:t xml:space="preserve"> einem Gruppenwettbewerb starten.</w:t>
      </w:r>
    </w:p>
    <w:p>
      <w:pPr>
        <w:pStyle w:val="Heading3"/>
        <w:numPr>
          <w:ilvl w:val="0"/>
          <w:numId w:val="2"/>
        </w:numPr>
        <w:rPr/>
      </w:pPr>
      <w:r>
        <w:rPr>
          <w:b/>
          <w:bCs/>
        </w:rPr>
        <w:t>Wertung</w:t>
      </w:r>
      <w:r>
        <w:rPr/>
        <w:t> </w:t>
      </w:r>
    </w:p>
    <w:p>
      <w:pPr>
        <w:pStyle w:val="TextBody"/>
        <w:rPr/>
      </w:pPr>
      <w:r>
        <w:rPr/>
        <w:t xml:space="preserve">Gewertet wird nach den Wertungsrichtlinien des Deutschen Turnerbundes, soweit die der </w:t>
      </w:r>
      <w:r>
        <w:rPr>
          <w:b/>
          <w:bCs/>
        </w:rPr>
        <w:t>Ausschreibung der Wettbewerbe Baden-Württemberg 2020</w:t>
      </w:r>
      <w:r>
        <w:rPr/>
        <w:t xml:space="preserve"> keine abweichenden Bestimmungen enthält.</w:t>
      </w:r>
    </w:p>
    <w:p>
      <w:pPr>
        <w:pStyle w:val="Heading3"/>
        <w:numPr>
          <w:ilvl w:val="0"/>
          <w:numId w:val="2"/>
        </w:numPr>
        <w:rPr/>
      </w:pPr>
      <w:r>
        <w:rPr/>
        <w:t>Handgeräte</w:t>
      </w:r>
    </w:p>
    <w:p>
      <w:pPr>
        <w:pStyle w:val="TextBody"/>
        <w:rPr/>
      </w:pPr>
      <w:r>
        <w:rPr/>
        <w:t> </w:t>
      </w:r>
      <w:r>
        <w:rPr/>
        <w:t>Band:</w:t>
        <w:tab/>
        <w:t>6 m lang, 5 m Länge bis zum 14. Lebensjahr möglich</w:t>
      </w:r>
    </w:p>
    <w:p>
      <w:pPr>
        <w:pStyle w:val="TextBody"/>
        <w:rPr/>
      </w:pPr>
      <w:r>
        <w:rPr/>
        <w:t xml:space="preserve">Ball: </w:t>
        <w:tab/>
        <w:t xml:space="preserve">WK III und IV, V Gewicht 300 g, Durchmesser 15 – 18 cm </w:t>
        <w:br/>
        <w:tab/>
        <w:t>(Es dürfen auch Bälle mit 400 g und 18 – 20 cm Durchmesser verwendet werden)</w:t>
      </w:r>
    </w:p>
    <w:p>
      <w:pPr>
        <w:pStyle w:val="TextBody"/>
        <w:rPr/>
      </w:pPr>
      <w:r>
        <w:rPr/>
        <w:t>Reifen: Innendurchmesser mindestens 70 cm, Gewicht frei</w:t>
      </w:r>
    </w:p>
    <w:p>
      <w:pPr>
        <w:pStyle w:val="TextBody"/>
        <w:rPr/>
      </w:pPr>
      <w:r>
        <w:rPr/>
        <w:t xml:space="preserve">Seil: </w:t>
        <w:tab/>
        <w:t>Länge und Größe je nach Größe der Gymnastin, aus einem Material bestehend, ohne Griffe</w:t>
      </w:r>
    </w:p>
    <w:p>
      <w:pPr>
        <w:pStyle w:val="Heading3"/>
        <w:numPr>
          <w:ilvl w:val="0"/>
          <w:numId w:val="2"/>
        </w:numPr>
        <w:rPr/>
      </w:pPr>
      <w:r>
        <w:rPr>
          <w:b/>
          <w:bCs/>
        </w:rPr>
        <w:t>Betreuung</w:t>
      </w:r>
      <w:r>
        <w:rPr/>
        <w:t> </w:t>
      </w:r>
    </w:p>
    <w:p>
      <w:pPr>
        <w:pStyle w:val="TextBody"/>
        <w:rPr/>
      </w:pPr>
      <w:r>
        <w:rPr/>
        <w:t>Auf allen Wettkampfebenen muss die Mannschaft von einer Lehrkraft oder einer von der Schulleitung beauftragten volljährigen Person (in besonderen Fällen auch von einer Schülermentorin) betreut werden.</w:t>
      </w:r>
    </w:p>
    <w:p>
      <w:pPr>
        <w:pStyle w:val="TextBody"/>
        <w:rPr/>
      </w:pPr>
      <w:r>
        <w:rPr>
          <w:b/>
          <w:bCs/>
        </w:rPr>
        <w:t>Schülerausweise</w:t>
      </w:r>
      <w:r>
        <w:rPr/>
        <w:t xml:space="preserve"> sind nur beim Landesfinale erforderlich.</w:t>
      </w:r>
    </w:p>
    <w:p>
      <w:pPr>
        <w:pStyle w:val="Heading3"/>
        <w:numPr>
          <w:ilvl w:val="0"/>
          <w:numId w:val="2"/>
        </w:numPr>
        <w:rPr/>
      </w:pPr>
      <w:r>
        <w:rPr>
          <w:b/>
          <w:bCs/>
        </w:rPr>
        <w:t>Musik</w:t>
      </w:r>
      <w:r>
        <w:rPr/>
        <w:t> </w:t>
      </w:r>
    </w:p>
    <w:p>
      <w:pPr>
        <w:pStyle w:val="TextBody"/>
        <w:rPr/>
      </w:pPr>
      <w:r>
        <w:rPr/>
        <w:t>Außer bei den Pflichtübungen der Synchronwettbewerbe ist die Musik frei wählbar.</w:t>
      </w:r>
    </w:p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r>
        <w:rPr>
          <w:sz w:val="18"/>
          <w:szCs w:val="18"/>
        </w:rPr>
        <w:t>Die aktuelle Version der Ausschreibung und die zugehörigen Meldeunterlagen finden Sie immer unter:</w:t>
      </w:r>
      <w:r>
        <w:rPr/>
        <w:t xml:space="preserve">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www.machmit-bw.de/jugend-trainiert/olympia/rhythmische-sportgymnastik</w:t>
        </w:r>
      </w:hyperlink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p>
      <w:pPr>
        <w:pStyle w:val="Heading6"/>
        <w:numPr>
          <w:ilvl w:val="5"/>
          <w:numId w:val="1"/>
        </w:numPr>
        <w:rPr>
          <w:color w:val="CE181E"/>
        </w:rPr>
      </w:pPr>
      <w:r>
        <w:rPr>
          <w:color w:val="CE181E"/>
        </w:rPr>
        <w:t>2</w:t>
      </w:r>
      <w:r>
        <w:rPr>
          <w:color w:val="CE181E"/>
        </w:rPr>
        <w:t>4</w:t>
      </w:r>
      <w:r>
        <w:rPr>
          <w:color w:val="CE181E"/>
        </w:rPr>
        <w:t>. Januar 2020</w:t>
      </w:r>
    </w:p>
    <w:p>
      <w:pPr>
        <w:pStyle w:val="Hinweis"/>
        <w:rPr/>
      </w:pPr>
      <w:r>
        <w:rPr/>
        <w:t xml:space="preserve">Mannschaftsmeldungen erfolgen grundsätzlich an die zuständigen </w:t>
      </w:r>
      <w:r>
        <w:rPr/>
        <w:t>RB-</w:t>
      </w:r>
      <w:r>
        <w:fldChar w:fldCharType="begin"/>
      </w:r>
      <w:r>
        <w:rPr>
          <w:rStyle w:val="InternetLink"/>
        </w:rPr>
        <w:instrText> HYPERLINK "https://mm1920-dev.didaktum.de/jugend-trainiert/olympia/rhythmische-sportgymnastik"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>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3960"/>
        <w:gridCol w:w="3971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RB-Finale mit integriertem Kreisfinale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Termine bis zu den Osterferien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Termine werden rechtzeitig durch die RB-Beauftragten bekannt gegeben.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Landesfinale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>Donnerstag</w:t>
            </w:r>
            <w:r>
              <w:rPr>
                <w:color w:val="CE181E"/>
                <w:sz w:val="18"/>
                <w:szCs w:val="18"/>
              </w:rPr>
              <w:t xml:space="preserve">, </w:t>
            </w:r>
            <w:r>
              <w:rPr>
                <w:color w:val="CE181E"/>
                <w:sz w:val="18"/>
                <w:szCs w:val="18"/>
              </w:rPr>
              <w:t>16</w:t>
            </w:r>
            <w:r>
              <w:rPr>
                <w:color w:val="CE181E"/>
                <w:sz w:val="18"/>
                <w:szCs w:val="18"/>
              </w:rPr>
              <w:t xml:space="preserve">. </w:t>
            </w:r>
            <w:r>
              <w:rPr>
                <w:color w:val="CE181E"/>
                <w:sz w:val="18"/>
                <w:szCs w:val="18"/>
              </w:rPr>
              <w:t>Juli</w:t>
            </w:r>
            <w:r>
              <w:rPr>
                <w:color w:val="CE181E"/>
                <w:sz w:val="18"/>
                <w:szCs w:val="18"/>
              </w:rPr>
              <w:t xml:space="preserve"> 2020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  <w:sz w:val="18"/>
                <w:szCs w:val="18"/>
              </w:rPr>
            </w:pPr>
            <w:r>
              <w:rPr>
                <w:color w:val="CE181E"/>
                <w:sz w:val="18"/>
                <w:szCs w:val="18"/>
              </w:rPr>
              <w:t xml:space="preserve">in </w:t>
            </w:r>
            <w:r>
              <w:rPr>
                <w:color w:val="CE181E"/>
                <w:sz w:val="18"/>
                <w:szCs w:val="18"/>
              </w:rPr>
              <w:t>Sindelfingen</w:t>
            </w:r>
            <w:r>
              <w:rPr>
                <w:color w:val="CE181E"/>
                <w:sz w:val="18"/>
                <w:szCs w:val="18"/>
              </w:rPr>
              <w:t xml:space="preserve"> (</w:t>
            </w:r>
            <w:r>
              <w:rPr>
                <w:color w:val="CE181E"/>
                <w:sz w:val="18"/>
                <w:szCs w:val="18"/>
              </w:rPr>
              <w:t>Glaspalast</w:t>
            </w:r>
            <w:r>
              <w:rPr>
                <w:color w:val="CE181E"/>
                <w:sz w:val="18"/>
                <w:szCs w:val="18"/>
              </w:rPr>
              <w:t>)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1868"/>
        <w:gridCol w:w="1361"/>
        <w:gridCol w:w="3229"/>
        <w:gridCol w:w="2047"/>
        <w:gridCol w:w="1699"/>
      </w:tblGrid>
      <w:tr>
        <w:trPr>
          <w:tblHeader w:val="true"/>
        </w:trPr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Jahrgänge</w:t>
              <w:br/>
              <w:t>max. – min.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Schularten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Info zu Wettkampf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Kombi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Kombination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D-Bnd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Duo – Band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G-Sel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Gruppe – Seil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D-Bal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Duo – Ball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G-Rfn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Gruppe – Reifen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G-Bal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Gruppe – Ball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S-Sel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HS, GS, SBBZ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Synchron – Seil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S-Bal Frei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Synchron – Ball</w:t>
            </w:r>
          </w:p>
        </w:tc>
      </w:tr>
      <w:tr>
        <w:trPr/>
        <w:tc>
          <w:tcPr>
            <w:tcW w:w="1020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>
                <w:b/>
                <w:bCs/>
              </w:rPr>
              <w:t>Für die Wettkämpfe gilt keine Altersbeschränkung, außer für WK V.</w:t>
            </w:r>
            <w:r>
              <w:rPr/>
              <w:t xml:space="preserve"> 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3"/>
      <w:footerReference w:type="default" r:id="rId4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Rhythmische Sportgymnastik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decimal"/>
      <w:lvlText w:val="%3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/>
    </w:lvl>
    <w:lvl w:ilvl="3">
      <w:start w:val="1"/>
      <w:numFmt w:val="decimal"/>
      <w:lvlText w:val="%2.%3.%4"/>
      <w:lvlJc w:val="left"/>
      <w:pPr>
        <w:tabs>
          <w:tab w:val="num" w:pos="567"/>
        </w:tabs>
        <w:ind w:left="567" w:hanging="567"/>
      </w:pPr>
      <w:rPr/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/>
    </w:lvl>
    <w:lvl w:ilvl="5">
      <w:start w:val="1"/>
      <w:numFmt w:val="decimal"/>
      <w:lvlText w:val="%4.%5.%6"/>
      <w:lvlJc w:val="left"/>
      <w:pPr>
        <w:tabs>
          <w:tab w:val="num" w:pos="567"/>
        </w:tabs>
        <w:ind w:left="567" w:hanging="567"/>
      </w:pPr>
      <w:rPr/>
    </w:lvl>
    <w:lvl w:ilvl="6">
      <w:start w:val="1"/>
      <w:numFmt w:val="decimal"/>
      <w:lvlText w:val="%5.%6.%7"/>
      <w:lvlJc w:val="left"/>
      <w:pPr>
        <w:tabs>
          <w:tab w:val="num" w:pos="567"/>
        </w:tabs>
        <w:ind w:left="567" w:hanging="567"/>
      </w:pPr>
      <w:rPr/>
    </w:lvl>
    <w:lvl w:ilvl="7">
      <w:start w:val="1"/>
      <w:numFmt w:val="decimal"/>
      <w:lvlText w:val="%6.%7.%8"/>
      <w:lvlJc w:val="left"/>
      <w:pPr>
        <w:tabs>
          <w:tab w:val="num" w:pos="567"/>
        </w:tabs>
        <w:ind w:left="567" w:hanging="567"/>
      </w:pPr>
      <w:rPr/>
    </w:lvl>
    <w:lvl w:ilvl="8">
      <w:start w:val="1"/>
      <w:numFmt w:val="decimal"/>
      <w:lvlText w:val="%7.%8.%9"/>
      <w:lvlJc w:val="left"/>
      <w:pPr>
        <w:tabs>
          <w:tab w:val="num" w:pos="567"/>
        </w:tabs>
        <w:ind w:left="567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 w:val="false"/>
      <w:bCs/>
      <w:color w:val="00090F"/>
      <w:sz w:val="18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umbering123">
    <w:name w:val="Numbering 123"/>
    <w:qFormat/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rhythmische-sportgymnasti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2680</TotalTime>
  <Application>LibreOffice/6.0.5.2$MacOSX_X86_64 LibreOffice_project/54c8cbb85f300ac59db32fe8a675ff7683cd5a16</Application>
  <Pages>3</Pages>
  <Words>639</Words>
  <Characters>3844</Characters>
  <CharactersWithSpaces>4419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2021-07-19T08:45:25Z</dcterms:modified>
  <cp:revision>93</cp:revision>
  <dc:subject/>
  <dc:title/>
</cp:coreProperties>
</file>