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0" w:type="dxa"/>
        <w:tblBorders>
          <w:top w:val="dotted" w:sz="2" w:space="0" w:color="60696F"/>
          <w:bottom w:val="dotted" w:sz="2" w:space="0" w:color="60696F"/>
          <w:insideH w:val="dotted" w:sz="2" w:space="0" w:color="60696F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3"/>
      </w:tblGrid>
      <w:tr>
        <w:trPr>
          <w:trHeight w:val="607" w:hRule="exact"/>
        </w:trPr>
        <w:tc>
          <w:tcPr>
            <w:tcW w:w="10203" w:type="dxa"/>
            <w:tcBorders>
              <w:top w:val="dotted" w:sz="2" w:space="0" w:color="60696F"/>
              <w:bottom w:val="dotted" w:sz="2" w:space="0" w:color="60696F"/>
              <w:insideH w:val="dotted" w:sz="2" w:space="0" w:color="60696F"/>
            </w:tcBorders>
            <w:shd w:fill="auto" w:val="clear"/>
            <w:vAlign w:val="center"/>
          </w:tcPr>
          <w:p>
            <w:pPr>
              <w:pStyle w:val="SAHEAD"/>
              <w:spacing w:before="57" w:after="57"/>
              <w:ind w:left="0" w:right="57" w:hanging="0"/>
              <w:rPr/>
            </w:pPr>
            <w:r>
              <w:rPr/>
              <w:t>Handball</w:t>
            </w:r>
          </w:p>
        </w:tc>
      </w:tr>
    </w:tbl>
    <w:p>
      <w:pPr>
        <w:pStyle w:val="Wrap"/>
        <w:rPr/>
      </w:pPr>
      <w:r>
        <w:rPr/>
      </w:r>
    </w:p>
    <w:p>
      <w:pPr>
        <w:pStyle w:val="Heading1"/>
        <w:numPr>
          <w:ilvl w:val="0"/>
          <w:numId w:val="2"/>
        </w:numPr>
        <w:rPr/>
      </w:pPr>
      <w:r>
        <w:rPr/>
        <w:t>Allgemeine Bestimmungen</w:t>
      </w:r>
    </w:p>
    <w:p>
      <w:pPr>
        <w:pStyle w:val="TextBody"/>
        <w:numPr>
          <w:ilvl w:val="1"/>
          <w:numId w:val="3"/>
        </w:numPr>
        <w:rPr/>
      </w:pPr>
      <w:r>
        <w:rPr/>
        <w:t>Gespielt wird – soweit in dieser Ausschreibung nichts anderes festgelegt ist – nach den Spielregeln des Deutschen Handballbundes (DHB). Außerdem gelten Satzung und Ordnungen des DHB. Bezugsquelle für Regelwerk und Spielordnung: Gegen Gebühr bei der DHB Geschäftsstelle, Strobelallee 56, 44139 Dortmund.</w:t>
      </w:r>
    </w:p>
    <w:p>
      <w:pPr>
        <w:pStyle w:val="TextBody"/>
        <w:numPr>
          <w:ilvl w:val="1"/>
          <w:numId w:val="3"/>
        </w:numPr>
        <w:rPr/>
      </w:pPr>
      <w:r>
        <w:rPr/>
        <w:t>Die Spielzeit beträgt bei Turnieren in allen Wettkampfklassen mindestens 2 x 10 Minuten. Es gibt kein Team Time-out. Die Strafzeit beträgt 1 Minute (im WK IV kann die Mannschaft ergänzen, da persönliche Strafe). Im WK III und IV ist die 2-Linien-Abwehr zwingend vorgeschrieben, d. h. in der Grundaufstellung agieren mindestens drei Verteidiger offensiv vor der Freiwurflinie, Einzelmanndeckung von 1 – 3 Spielern ist nicht erlaubt. Ab Landesfinale muss im WK IV der Anwurf nach DHB-Regel ausgeführt werden.</w:t>
      </w:r>
    </w:p>
    <w:p>
      <w:pPr>
        <w:pStyle w:val="TextBody"/>
        <w:numPr>
          <w:ilvl w:val="0"/>
          <w:numId w:val="0"/>
        </w:numPr>
        <w:ind w:left="567" w:hanging="0"/>
        <w:rPr/>
      </w:pPr>
      <w:r>
        <w:rPr/>
        <w:t>Bei roter Karte mit Bericht erfolgt eine Sperre für 2 nachfolgende Spiele. Bei SR-Beleidigung oder Tätlichkeit erfolgt zusätzlich Meldung an die Schulbehörde und den Verband.</w:t>
      </w:r>
    </w:p>
    <w:p>
      <w:pPr>
        <w:pStyle w:val="TextBody"/>
        <w:numPr>
          <w:ilvl w:val="1"/>
          <w:numId w:val="3"/>
        </w:numPr>
        <w:rPr/>
      </w:pPr>
      <w:r>
        <w:rPr/>
        <w:t>In Abweichung von der DHB-Regel besteht beim Bundesfinale und im Bodensee-</w:t>
      </w:r>
      <w:r>
        <w:rPr/>
        <w:t>S</w:t>
      </w:r>
      <w:r>
        <w:rPr/>
        <w:t xml:space="preserve">chulcup eine Mannschaft aus </w:t>
      </w:r>
      <w:r>
        <w:rPr>
          <w:b/>
          <w:bCs/>
        </w:rPr>
        <w:t>11 Spielern</w:t>
      </w:r>
      <w:r>
        <w:rPr/>
        <w:t xml:space="preserve">. Die Allgemeine Startklausel gilt erst ab </w:t>
      </w:r>
      <w:r>
        <w:rPr>
          <w:b/>
          <w:bCs/>
        </w:rPr>
        <w:t>Landesfinale</w:t>
      </w:r>
      <w:r>
        <w:rPr/>
        <w:t>. Hat eine Mannschaft dort das Bundesfinale erreicht, darf ein Schüler dieser Mannschaft nicht in einer anderen Mannschaft spielen.</w:t>
      </w:r>
    </w:p>
    <w:p>
      <w:pPr>
        <w:pStyle w:val="TextBody"/>
        <w:numPr>
          <w:ilvl w:val="1"/>
          <w:numId w:val="3"/>
        </w:numPr>
        <w:rPr/>
      </w:pPr>
      <w:r>
        <w:rPr/>
        <w:t>Bei Punktgleichheit gilt für die weitere Qualifikation und zur Ermittlung eines Meisters folgende Regelung: </w:t>
        <w:br/>
        <w:t>a) direkter Vergleich </w:t>
        <w:br/>
        <w:t>b) Tordifferenz aus dem direkten Vergleich </w:t>
        <w:br/>
        <w:t>c) Anzahl der erzielten Tore aus dem direkten Vergleich</w:t>
        <w:br/>
        <w:t> d) Entscheidungsspiel (Bei zwei punktgleichen Teams um Rang 1 immer !) </w:t>
        <w:br/>
        <w:t>e) Für die weitere Platzierung gilt das Torverhältnis.</w:t>
      </w:r>
    </w:p>
    <w:p>
      <w:pPr>
        <w:pStyle w:val="TextBody"/>
        <w:numPr>
          <w:ilvl w:val="1"/>
          <w:numId w:val="3"/>
        </w:numPr>
        <w:rPr/>
      </w:pPr>
      <w:r>
        <w:rPr>
          <w:b/>
          <w:bCs/>
        </w:rPr>
        <w:t>Qualifikation</w:t>
      </w:r>
      <w:r>
        <w:rPr/>
        <w:br/>
        <w:t>Die Wettkämpfe der Klassen II und III werden bis zum Bundesfinale, die Wettkämpfe in den anderen Klassen bis zum Landesfinale durchgeführt.</w:t>
      </w:r>
    </w:p>
    <w:p>
      <w:pPr>
        <w:pStyle w:val="TextBody"/>
        <w:numPr>
          <w:ilvl w:val="1"/>
          <w:numId w:val="3"/>
        </w:numPr>
        <w:rPr/>
      </w:pPr>
      <w:r>
        <w:rPr/>
        <w:t>Für die Landesfinals qualifiziert sich bei Jungen und Mädchen jeweils der RB-Meister, in den Wettkampfklassen II und III (außer IBSC) jeweils der Erst- und Zweitplatzierte aus den RB-Finals.</w:t>
        <w:br/>
      </w:r>
    </w:p>
    <w:p>
      <w:pPr>
        <w:pStyle w:val="Heading1"/>
        <w:numPr>
          <w:ilvl w:val="0"/>
          <w:numId w:val="3"/>
        </w:numPr>
        <w:rPr/>
      </w:pPr>
      <w:r>
        <w:rPr/>
        <w:t>Termine, Wettkampfangebot und Beauftragte im Schuljahr 20</w:t>
      </w:r>
      <w:r>
        <w:rPr/>
        <w:t>21/2022</w:t>
      </w:r>
    </w:p>
    <w:p>
      <w:pPr>
        <w:pStyle w:val="Hinweis"/>
        <w:pageBreakBefore w:val="false"/>
        <w:rPr>
          <w:sz w:val="18"/>
          <w:szCs w:val="18"/>
        </w:rPr>
      </w:pPr>
      <w:bookmarkStart w:id="0" w:name="__DdeLink__10983_434992475"/>
      <w:r>
        <w:rPr>
          <w:sz w:val="18"/>
          <w:szCs w:val="18"/>
        </w:rPr>
        <w:t>Die aktuelle Version der Ausschreibung und die zugehörigen Meldeunterlagen finden Sie immer unter:</w:t>
      </w:r>
      <w:bookmarkEnd w:id="0"/>
      <w:r>
        <w:rPr>
          <w:sz w:val="18"/>
          <w:szCs w:val="18"/>
        </w:rPr>
        <w:t xml:space="preserve"> </w:t>
      </w:r>
    </w:p>
    <w:p>
      <w:pPr>
        <w:pStyle w:val="Hinweis"/>
        <w:rPr/>
      </w:pPr>
      <w:hyperlink r:id="rId2">
        <w:r>
          <w:rPr>
            <w:rStyle w:val="InternetLink"/>
            <w:sz w:val="24"/>
            <w:szCs w:val="24"/>
          </w:rPr>
          <w:t>www.machmit-bw.de/jugend-trainiert/olympia/handball</w:t>
        </w:r>
      </w:hyperlink>
    </w:p>
    <w:p>
      <w:pPr>
        <w:pStyle w:val="Heading2"/>
        <w:numPr>
          <w:ilvl w:val="0"/>
          <w:numId w:val="0"/>
        </w:numPr>
        <w:ind w:left="-283" w:right="0" w:hanging="0"/>
        <w:rPr>
          <w:rFonts w:eastAsia="Arial Unicode MS" w:cs="Arial Unicode MS"/>
          <w:b/>
          <w:b/>
          <w:bCs/>
          <w:szCs w:val="28"/>
        </w:rPr>
      </w:pPr>
      <w:r>
        <w:rPr>
          <w:rFonts w:eastAsia="Arial Unicode MS" w:cs="Arial Unicode MS"/>
          <w:b/>
          <w:bCs/>
          <w:szCs w:val="28"/>
        </w:rPr>
      </w:r>
      <w:r>
        <w:br w:type="page"/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Termine</w:t>
      </w:r>
    </w:p>
    <w:p>
      <w:pPr>
        <w:pStyle w:val="Heading3"/>
        <w:numPr>
          <w:ilvl w:val="2"/>
          <w:numId w:val="1"/>
        </w:numPr>
        <w:rPr/>
      </w:pPr>
      <w:r>
        <w:rPr/>
        <w:t>Meldeschluss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2273"/>
        <w:gridCol w:w="7931"/>
      </w:tblGrid>
      <w:tr>
        <w:trPr/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Wettkämpfe I bis III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16</w:t>
            </w:r>
            <w:r>
              <w:rPr>
                <w:color w:val="CE181E"/>
              </w:rPr>
              <w:t>. Oktober 2019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Wettkampf IV und V</w:t>
            </w:r>
          </w:p>
        </w:tc>
        <w:tc>
          <w:tcPr>
            <w:tcW w:w="7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18</w:t>
            </w:r>
            <w:r>
              <w:rPr>
                <w:color w:val="CE181E"/>
              </w:rPr>
              <w:t>. Dezember 2019</w:t>
            </w:r>
          </w:p>
        </w:tc>
      </w:tr>
    </w:tbl>
    <w:p>
      <w:pPr>
        <w:pStyle w:val="Hinweis"/>
        <w:rPr/>
      </w:pPr>
      <w:r>
        <w:rPr/>
        <w:t xml:space="preserve">Mannschaftsmeldungen erfolgen grundsätzlich an die zuständigen </w:t>
      </w:r>
      <w:r>
        <w:fldChar w:fldCharType="begin"/>
      </w:r>
      <w:r>
        <w:rPr>
          <w:rStyle w:val="InternetLink"/>
        </w:rPr>
        <w:instrText> HYPERLINK "https://mm1920-dev.didaktum.de/jugend-trainiert/olympia/handball" \l "beauftragte"</w:instrText>
      </w:r>
      <w:r>
        <w:rPr>
          <w:rStyle w:val="InternetLink"/>
        </w:rPr>
        <w:fldChar w:fldCharType="separate"/>
      </w:r>
      <w:r>
        <w:rPr>
          <w:rStyle w:val="InternetLink"/>
        </w:rPr>
        <w:t>Beauftragten</w:t>
      </w:r>
      <w:r>
        <w:rPr>
          <w:rStyle w:val="InternetLink"/>
        </w:rPr>
        <w:fldChar w:fldCharType="end"/>
      </w:r>
      <w:r>
        <w:rPr/>
        <w:t xml:space="preserve"> der untersten Austragungsebene eines Wettkampfs.</w:t>
      </w:r>
    </w:p>
    <w:p>
      <w:pPr>
        <w:pStyle w:val="Heading3"/>
        <w:numPr>
          <w:ilvl w:val="2"/>
          <w:numId w:val="1"/>
        </w:numPr>
        <w:rPr/>
      </w:pPr>
      <w:r>
        <w:rPr/>
        <w:t>Austragungstermine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3398"/>
        <w:gridCol w:w="3408"/>
        <w:gridCol w:w="3398"/>
      </w:tblGrid>
      <w:tr>
        <w:trPr>
          <w:tblHeader w:val="true"/>
        </w:trPr>
        <w:tc>
          <w:tcPr>
            <w:tcW w:w="10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Landesentscheide</w:t>
            </w:r>
          </w:p>
        </w:tc>
      </w:tr>
      <w:tr>
        <w:trPr>
          <w:tblHeader w:val="true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in KW 11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 xml:space="preserve">im RB </w:t>
            </w:r>
            <w:r>
              <w:rPr>
                <w:color w:val="CE181E"/>
              </w:rPr>
              <w:t>Freiburg</w:t>
            </w:r>
          </w:p>
        </w:tc>
      </w:tr>
      <w:tr>
        <w:trPr>
          <w:tblHeader w:val="true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in KW 12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 xml:space="preserve">im RB </w:t>
            </w:r>
            <w:r>
              <w:rPr>
                <w:color w:val="CE181E"/>
              </w:rPr>
              <w:t>Karlsruhe</w:t>
            </w:r>
          </w:p>
        </w:tc>
      </w:tr>
      <w:tr>
        <w:trPr>
          <w:tblHeader w:val="true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III/1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in KW 13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 xml:space="preserve">im RB </w:t>
            </w:r>
            <w:r>
              <w:rPr>
                <w:color w:val="CE181E"/>
              </w:rPr>
              <w:t>Stuttgart</w:t>
            </w:r>
          </w:p>
        </w:tc>
      </w:tr>
      <w:tr>
        <w:trPr>
          <w:tblHeader w:val="true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III/2 *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in KW 1</w:t>
            </w:r>
            <w:r>
              <w:rPr>
                <w:color w:val="CE181E"/>
              </w:rPr>
              <w:t>3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 xml:space="preserve">im RB </w:t>
            </w:r>
            <w:r>
              <w:rPr>
                <w:color w:val="CE181E"/>
              </w:rPr>
              <w:t>Stuttgart</w:t>
            </w:r>
          </w:p>
        </w:tc>
      </w:tr>
      <w:tr>
        <w:trPr>
          <w:tblHeader w:val="true"/>
        </w:trPr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in KW 1</w:t>
            </w:r>
            <w:r>
              <w:rPr>
                <w:color w:val="CE181E"/>
              </w:rPr>
              <w:t>4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 xml:space="preserve">im RB </w:t>
            </w:r>
            <w:r>
              <w:rPr>
                <w:color w:val="CE181E"/>
              </w:rPr>
              <w:t>Tübingen</w:t>
            </w:r>
          </w:p>
        </w:tc>
      </w:tr>
      <w:tr>
        <w:trPr>
          <w:tblHeader w:val="true"/>
        </w:trPr>
        <w:tc>
          <w:tcPr>
            <w:tcW w:w="102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* Die Landessieger III/2 qualifizieren sich zum Bodensee-Schulcup.</w:t>
            </w:r>
          </w:p>
        </w:tc>
      </w:tr>
      <w:tr>
        <w:trPr>
          <w:tblHeader w:val="true"/>
        </w:trPr>
        <w:tc>
          <w:tcPr>
            <w:tcW w:w="102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Finals</w:t>
            </w:r>
          </w:p>
        </w:tc>
      </w:tr>
      <w:tr>
        <w:trPr/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Internationaler Bodensee-Schulcup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22</w:t>
            </w:r>
            <w:r>
              <w:rPr/>
              <w:t xml:space="preserve">. bis </w:t>
            </w:r>
            <w:r>
              <w:rPr/>
              <w:t>24</w:t>
            </w:r>
            <w:r>
              <w:rPr/>
              <w:t>. September 202</w:t>
            </w:r>
            <w:r>
              <w:rPr/>
              <w:t>2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i</w:t>
            </w:r>
            <w:r>
              <w:rPr/>
              <w:t>n</w:t>
            </w:r>
            <w:r>
              <w:rPr/>
              <w:t xml:space="preserve"> </w:t>
            </w:r>
            <w:r>
              <w:rPr/>
              <w:t>Lindau</w:t>
            </w:r>
            <w:r>
              <w:rPr/>
              <w:t xml:space="preserve"> (</w:t>
            </w:r>
            <w:r>
              <w:rPr/>
              <w:t>BY</w:t>
            </w:r>
            <w:r>
              <w:rPr/>
              <w:t>)</w:t>
            </w:r>
          </w:p>
        </w:tc>
      </w:tr>
      <w:tr>
        <w:trPr/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Bundesfinale</w:t>
            </w:r>
          </w:p>
        </w:tc>
        <w:tc>
          <w:tcPr>
            <w:tcW w:w="34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03. bis 07. Mai 202</w:t>
            </w:r>
            <w:r>
              <w:rPr/>
              <w:t>2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Frühjahrsfinale in Berlin</w:t>
            </w:r>
          </w:p>
        </w:tc>
      </w:tr>
    </w:tbl>
    <w:p>
      <w:pPr>
        <w:pStyle w:val="Heading2"/>
        <w:numPr>
          <w:ilvl w:val="1"/>
          <w:numId w:val="1"/>
        </w:numPr>
        <w:ind w:left="-283" w:right="0" w:hanging="0"/>
        <w:rPr/>
      </w:pPr>
      <w:r>
        <w:rPr/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Wettkämpfe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2273"/>
        <w:gridCol w:w="1698"/>
        <w:gridCol w:w="2262"/>
        <w:gridCol w:w="1710"/>
        <w:gridCol w:w="2261"/>
      </w:tblGrid>
      <w:tr>
        <w:trPr>
          <w:tblHeader w:val="true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Wettkampf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Jahrgänge</w:t>
              <w:br/>
              <w:t>max. – min.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Schularten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Austragungsebenen</w:t>
              <w:br/>
              <w:t>von – bis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Info zu Wettkampf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 --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2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6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 --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2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6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--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--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--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--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IBSC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GMS, RS, WS, HS, SBBZ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IBSC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BSC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IBSC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GMS, RS, WS, HS, SBBZ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IBSC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BSC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--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offen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--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offen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-- Jungen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-- Mädchen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-- Frei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</w:t>
            </w:r>
          </w:p>
        </w:tc>
        <w:tc>
          <w:tcPr>
            <w:tcW w:w="17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</w:t>
            </w:r>
          </w:p>
        </w:tc>
        <w:tc>
          <w:tcPr>
            <w:tcW w:w="22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</w:tbl>
    <w:p>
      <w:pPr>
        <w:pStyle w:val="TextBody"/>
        <w:numPr>
          <w:ilvl w:val="0"/>
          <w:numId w:val="0"/>
        </w:numPr>
        <w:spacing w:before="0" w:after="96"/>
        <w:outlineLvl w:val="1"/>
        <w:rPr/>
      </w:pPr>
      <w:r>
        <w:rPr/>
      </w:r>
    </w:p>
    <w:sectPr>
      <w:headerReference w:type="first" r:id="rId3"/>
      <w:footerReference w:type="default" r:id="rId4"/>
      <w:type w:val="nextPage"/>
      <w:pgSz w:w="11906" w:h="16838"/>
      <w:pgMar w:left="850" w:right="850" w:header="0" w:top="850" w:footer="680" w:bottom="153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horndale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tbl>
    <w:tblPr>
      <w:tblW w:w="10203" w:type="dxa"/>
      <w:jc w:val="left"/>
      <w:tblInd w:w="0" w:type="dxa"/>
      <w:tblBorders>
        <w:top w:val="dotted" w:sz="2" w:space="0" w:color="60696F"/>
        <w:bottom w:val="dotted" w:sz="2" w:space="0" w:color="60696F"/>
        <w:insideH w:val="dotted" w:sz="2" w:space="0" w:color="60696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67"/>
      <w:gridCol w:w="130"/>
      <w:gridCol w:w="7586"/>
      <w:gridCol w:w="1920"/>
    </w:tblGrid>
    <w:tr>
      <w:trPr>
        <w:trHeight w:val="607" w:hRule="exact"/>
      </w:trPr>
      <w:tc>
        <w:tcPr>
          <w:tcW w:w="567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TableContents"/>
            <w:suppressLineNumbers/>
            <w:spacing w:before="57" w:after="57"/>
            <w:ind w:left="0" w:right="0" w:hanging="0"/>
            <w:jc w:val="left"/>
            <w:rPr>
              <w:rFonts w:ascii="Thorndale" w:hAnsi="Thorndale"/>
              <w:b/>
              <w:b/>
              <w:bCs/>
              <w:i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Thorndale" w:hAnsi="Thorndale"/>
              <w:b/>
              <w:bCs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13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/>
          </w:pPr>
          <w:r>
            <w:rPr/>
          </w:r>
        </w:p>
      </w:tc>
      <w:tc>
        <w:tcPr>
          <w:tcW w:w="7586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>
              <w:sz w:val="16"/>
              <w:szCs w:val="16"/>
            </w:rPr>
          </w:pPr>
          <w:r>
            <w:rPr>
              <w:sz w:val="16"/>
              <w:szCs w:val="16"/>
            </w:rPr>
            <w:t>Handball</w:t>
          </w:r>
          <w:r>
            <w:rPr>
              <w:sz w:val="16"/>
              <w:szCs w:val="16"/>
            </w:rPr>
            <w:t xml:space="preserve"> – </w:t>
          </w:r>
          <w:r>
            <w:rPr>
              <w:sz w:val="16"/>
              <w:szCs w:val="16"/>
            </w:rPr>
            <w:t>2021/22</w:t>
          </w:r>
        </w:p>
      </w:tc>
      <w:tc>
        <w:tcPr>
          <w:tcW w:w="192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rPr>
        <w:sz w:val="34"/>
        <w:szCs w:val="34"/>
      </w:rPr>
    </w:pPr>
    <w:r>
      <w:rPr>
        <w:sz w:val="34"/>
        <w:szCs w:val="3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decimal"/>
      <w:lvlText w:val="%4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607"/>
        </w:tabs>
        <w:ind w:left="607" w:hanging="607"/>
      </w:pPr>
      <w:rPr/>
    </w:lvl>
    <w:lvl w:ilvl="1">
      <w:start w:val="1"/>
      <w:numFmt w:val="decimal"/>
      <w:lvlText w:val="%1.%2"/>
      <w:lvlJc w:val="left"/>
      <w:pPr>
        <w:tabs>
          <w:tab w:val="num" w:pos="607"/>
        </w:tabs>
        <w:ind w:left="607" w:hanging="607"/>
      </w:pPr>
      <w:rPr/>
    </w:lvl>
    <w:lvl w:ilvl="2">
      <w:start w:val="1"/>
      <w:numFmt w:val="decimal"/>
      <w:lvlText w:val="%1.%2.%3"/>
      <w:lvlJc w:val="left"/>
      <w:pPr>
        <w:tabs>
          <w:tab w:val="num" w:pos="607"/>
        </w:tabs>
        <w:ind w:left="607" w:hanging="607"/>
      </w:pPr>
      <w:rPr/>
    </w:lvl>
    <w:lvl w:ilvl="3">
      <w:start w:val="1"/>
      <w:numFmt w:val="decimal"/>
      <w:lvlText w:val="%2.%3.%4"/>
      <w:lvlJc w:val="left"/>
      <w:pPr>
        <w:tabs>
          <w:tab w:val="num" w:pos="266"/>
        </w:tabs>
        <w:ind w:left="266" w:hanging="266"/>
      </w:pPr>
      <w:rPr/>
    </w:lvl>
    <w:lvl w:ilvl="4">
      <w:start w:val="1"/>
      <w:numFmt w:val="decimal"/>
      <w:lvlText w:val="%3.%4.%5"/>
      <w:lvlJc w:val="left"/>
      <w:pPr>
        <w:tabs>
          <w:tab w:val="num" w:pos="266"/>
        </w:tabs>
        <w:ind w:left="266" w:hanging="266"/>
      </w:pPr>
      <w:rPr/>
    </w:lvl>
    <w:lvl w:ilvl="5">
      <w:start w:val="1"/>
      <w:numFmt w:val="decimal"/>
      <w:lvlText w:val="%4.%5.%6"/>
      <w:lvlJc w:val="left"/>
      <w:pPr>
        <w:tabs>
          <w:tab w:val="num" w:pos="266"/>
        </w:tabs>
        <w:ind w:left="266" w:hanging="266"/>
      </w:pPr>
      <w:rPr/>
    </w:lvl>
    <w:lvl w:ilvl="6">
      <w:start w:val="1"/>
      <w:numFmt w:val="decimal"/>
      <w:lvlText w:val="%5.%6.%7"/>
      <w:lvlJc w:val="left"/>
      <w:pPr>
        <w:tabs>
          <w:tab w:val="num" w:pos="266"/>
        </w:tabs>
        <w:ind w:left="266" w:hanging="266"/>
      </w:pPr>
      <w:rPr/>
    </w:lvl>
    <w:lvl w:ilvl="7">
      <w:start w:val="1"/>
      <w:numFmt w:val="decimal"/>
      <w:lvlText w:val="%6.%7.%8"/>
      <w:lvlJc w:val="left"/>
      <w:pPr>
        <w:tabs>
          <w:tab w:val="num" w:pos="266"/>
        </w:tabs>
        <w:ind w:left="266" w:hanging="266"/>
      </w:pPr>
      <w:rPr/>
    </w:lvl>
    <w:lvl w:ilvl="8">
      <w:start w:val="1"/>
      <w:numFmt w:val="decimal"/>
      <w:lvlText w:val="%7.%8.%9"/>
      <w:lvlJc w:val="left"/>
      <w:pPr>
        <w:tabs>
          <w:tab w:val="num" w:pos="266"/>
        </w:tabs>
        <w:ind w:left="266" w:hanging="266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567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bidi w:val="0"/>
      <w:spacing w:before="244" w:after="130"/>
      <w:outlineLvl w:val="0"/>
    </w:pPr>
    <w:rPr>
      <w:rFonts w:ascii="Helvetica Neue" w:hAnsi="Helvetica Neue"/>
      <w:b w:val="false"/>
      <w:bCs/>
      <w:color w:val="55AACC"/>
      <w:sz w:val="26"/>
      <w:szCs w:val="36"/>
    </w:rPr>
  </w:style>
  <w:style w:type="paragraph" w:styleId="Heading2">
    <w:name w:val="Heading 2"/>
    <w:basedOn w:val="Heading1"/>
    <w:next w:val="TextBody"/>
    <w:qFormat/>
    <w:pPr>
      <w:numPr>
        <w:ilvl w:val="1"/>
        <w:numId w:val="1"/>
      </w:numPr>
      <w:bidi w:val="0"/>
      <w:spacing w:before="130" w:after="96"/>
      <w:ind w:left="-283" w:right="0" w:hanging="0"/>
      <w:outlineLvl w:val="1"/>
    </w:pPr>
    <w:rPr>
      <w:rFonts w:ascii="Helvetica Neue" w:hAnsi="Helvetica Neue"/>
      <w:b w:val="false"/>
      <w:bCs/>
      <w:color w:val="55AACC"/>
      <w:sz w:val="24"/>
      <w:szCs w:val="4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bidi w:val="0"/>
      <w:spacing w:before="130" w:after="74"/>
      <w:outlineLvl w:val="2"/>
    </w:pPr>
    <w:rPr>
      <w:rFonts w:ascii="Helvetica Neue" w:hAnsi="Helvetica Neue"/>
      <w:b w:val="false"/>
      <w:bCs/>
      <w:color w:val="00090F"/>
      <w:sz w:val="21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WW8Num13z0">
    <w:name w:val="WW8Num13z0"/>
    <w:qFormat/>
    <w:rPr>
      <w:rFonts w:cs="Arial"/>
      <w:sz w:val="16"/>
      <w:szCs w:val="16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bidi w:val="0"/>
      <w:spacing w:lineRule="auto" w:line="256" w:before="0" w:after="96"/>
    </w:pPr>
    <w:rPr>
      <w:rFonts w:ascii="Helvetica Neue" w:hAnsi="Helvetica Neue"/>
      <w:color w:val="30393F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184"/>
      <w:ind w:left="0" w:right="0" w:hanging="0"/>
      <w:textAlignment w:val="auto"/>
    </w:pPr>
    <w:rPr>
      <w:rFonts w:ascii="Helvetica Neue" w:hAnsi="Helvetica Neue"/>
      <w:b w:val="false"/>
      <w:color w:val="005577"/>
      <w:spacing w:val="8"/>
      <w:sz w:val="74"/>
    </w:rPr>
  </w:style>
  <w:style w:type="paragraph" w:styleId="Untitled1">
    <w:name w:val="Untitled1"/>
    <w:basedOn w:val="Header"/>
    <w:qFormat/>
    <w:pPr>
      <w:bidi w:val="0"/>
    </w:pPr>
    <w:rPr>
      <w:color w:val="60696F"/>
      <w:sz w:val="26"/>
    </w:rPr>
  </w:style>
  <w:style w:type="paragraph" w:styleId="HEADSUB">
    <w:name w:val="HEAD-SUB"/>
    <w:basedOn w:val="Header"/>
    <w:qFormat/>
    <w:pPr>
      <w:bidi w:val="0"/>
      <w:spacing w:lineRule="auto" w:line="189"/>
      <w:jc w:val="left"/>
    </w:pPr>
    <w:rPr>
      <w:b w:val="false"/>
      <w:color w:val="90999F"/>
      <w:spacing w:val="2"/>
      <w:sz w:val="46"/>
    </w:rPr>
  </w:style>
  <w:style w:type="paragraph" w:styleId="TableContents">
    <w:name w:val="Table Contents"/>
    <w:basedOn w:val="Normal"/>
    <w:qFormat/>
    <w:pPr>
      <w:suppressLineNumbers/>
      <w:bidi w:val="0"/>
      <w:spacing w:before="57" w:after="57"/>
      <w:ind w:left="57" w:right="57" w:hanging="0"/>
    </w:pPr>
    <w:rPr>
      <w:rFonts w:ascii="Helvetica Neue" w:hAnsi="Helvetica Neue"/>
      <w:color w:val="30393F"/>
      <w:sz w:val="16"/>
    </w:rPr>
  </w:style>
  <w:style w:type="paragraph" w:styleId="SAHEAD">
    <w:name w:val="SA-HEAD"/>
    <w:basedOn w:val="TableContents"/>
    <w:qFormat/>
    <w:pPr>
      <w:bidi w:val="0"/>
    </w:pPr>
    <w:rPr>
      <w:rFonts w:ascii="Helvetica Neue" w:hAnsi="Helvetica Neue"/>
      <w:caps/>
      <w:color w:val="30393F"/>
      <w:sz w:val="34"/>
    </w:rPr>
  </w:style>
  <w:style w:type="paragraph" w:styleId="TableHeading">
    <w:name w:val="Table Heading"/>
    <w:basedOn w:val="TableContents"/>
    <w:qFormat/>
    <w:pPr>
      <w:suppressLineNumbers/>
      <w:pBdr/>
      <w:bidi w:val="0"/>
      <w:jc w:val="left"/>
    </w:pPr>
    <w:rPr>
      <w:rFonts w:ascii="Helvetica Neue" w:hAnsi="Helvetica Neue"/>
      <w:b/>
      <w:bCs/>
      <w:color w:val="00090F"/>
      <w:sz w:val="16"/>
    </w:rPr>
  </w:style>
  <w:style w:type="paragraph" w:styleId="Saison">
    <w:name w:val="Saison"/>
    <w:basedOn w:val="HEADSUB"/>
    <w:qFormat/>
    <w:pPr>
      <w:bidi w:val="0"/>
      <w:spacing w:lineRule="auto" w:line="480" w:before="130" w:after="0"/>
    </w:pPr>
    <w:rPr>
      <w:b w:val="false"/>
      <w:i/>
      <w:color w:val="60696F"/>
      <w:sz w:val="21"/>
    </w:rPr>
  </w:style>
  <w:style w:type="paragraph" w:styleId="Hinweis">
    <w:name w:val="Hinweis"/>
    <w:basedOn w:val="TextBody"/>
    <w:next w:val="TextBody"/>
    <w:qFormat/>
    <w:pPr>
      <w:pBdr>
        <w:top w:val="dotted" w:sz="2" w:space="5" w:color="60696F"/>
        <w:bottom w:val="dotted" w:sz="2" w:space="5" w:color="60696F"/>
      </w:pBdr>
      <w:bidi w:val="0"/>
    </w:pPr>
    <w:rPr>
      <w:b/>
      <w:sz w:val="18"/>
    </w:rPr>
  </w:style>
  <w:style w:type="paragraph" w:styleId="Footer">
    <w:name w:val="Footer"/>
    <w:basedOn w:val="Normal"/>
    <w:pPr>
      <w:suppressLineNumbers/>
      <w:tabs>
        <w:tab w:val="center" w:pos="5103" w:leader="none"/>
        <w:tab w:val="right" w:pos="10206" w:leader="none"/>
      </w:tabs>
      <w:bidi w:val="0"/>
    </w:pPr>
    <w:rPr>
      <w:rFonts w:ascii="Helvetica Neue" w:hAnsi="Helvetica Neue"/>
      <w:sz w:val="4"/>
    </w:rPr>
  </w:style>
  <w:style w:type="paragraph" w:styleId="Illustration">
    <w:name w:val="Illustration"/>
    <w:basedOn w:val="Caption"/>
    <w:qFormat/>
    <w:pPr/>
    <w:rPr/>
  </w:style>
  <w:style w:type="paragraph" w:styleId="Wrap">
    <w:name w:val="Wrap"/>
    <w:basedOn w:val="Hinweis"/>
    <w:next w:val="TextBody"/>
    <w:qFormat/>
    <w:pPr>
      <w:pBdr/>
      <w:bidi w:val="0"/>
      <w:spacing w:lineRule="auto" w:line="240" w:before="0" w:after="0"/>
    </w:pPr>
    <w:rPr>
      <w:sz w:val="4"/>
    </w:rPr>
  </w:style>
  <w:style w:type="paragraph" w:styleId="TableFootnote">
    <w:name w:val="Table Footnote"/>
    <w:basedOn w:val="TableContents"/>
    <w:qFormat/>
    <w:pPr>
      <w:bidi w:val="0"/>
      <w:spacing w:before="130" w:after="130"/>
      <w:ind w:left="130" w:right="130" w:hanging="0"/>
    </w:pPr>
    <w:rPr>
      <w:color w:val="FFFFFF"/>
    </w:rPr>
  </w:style>
  <w:style w:type="paragraph" w:styleId="Liste">
    <w:name w:val="Liste"/>
    <w:basedOn w:val="TextBody"/>
    <w:qFormat/>
    <w:pPr>
      <w:bidi w:val="0"/>
      <w:spacing w:before="0" w:after="0"/>
    </w:pPr>
    <w:rPr/>
  </w:style>
  <w:style w:type="paragraph" w:styleId="List1Start">
    <w:name w:val="List 1 Start"/>
    <w:basedOn w:val="List"/>
    <w:next w:val="List1"/>
    <w:qFormat/>
    <w:pPr>
      <w:bidi w:val="0"/>
      <w:spacing w:before="40" w:after="0"/>
      <w:ind w:left="360" w:right="0" w:hanging="360"/>
    </w:pPr>
    <w:rPr>
      <w:b w:val="false"/>
      <w:i/>
      <w:sz w:val="18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List1Cont">
    <w:name w:val="List Continue"/>
    <w:basedOn w:val="List"/>
    <w:pPr>
      <w:bidi w:val="0"/>
      <w:spacing w:before="0" w:after="0"/>
      <w:ind w:left="360" w:right="0" w:hanging="0"/>
    </w:pPr>
    <w:rPr>
      <w:b w:val="false"/>
      <w:i/>
      <w:sz w:val="18"/>
    </w:rPr>
  </w:style>
  <w:style w:type="paragraph" w:styleId="List1End">
    <w:name w:val="List 1 End"/>
    <w:basedOn w:val="List"/>
    <w:next w:val="List1"/>
    <w:qFormat/>
    <w:pPr>
      <w:bidi w:val="0"/>
      <w:spacing w:before="0" w:after="130"/>
      <w:ind w:left="360" w:right="0" w:hanging="360"/>
    </w:pPr>
    <w:rPr>
      <w:b w:val="false"/>
      <w:i/>
      <w:sz w:val="18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List11">
    <w:name w:val="List 1"/>
    <w:qFormat/>
  </w:style>
  <w:style w:type="numbering" w:styleId="List2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3">
    <w:name w:val="WW8Num13"/>
    <w:qFormat/>
  </w:style>
  <w:style w:type="numbering" w:styleId="SUB">
    <w:name w:val="SUB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chmit-bw.de/jugend-trainiert/olympia/handbal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4970</TotalTime>
  <Application>LibreOffice/6.0.5.2$MacOSX_X86_64 LibreOffice_project/54c8cbb85f300ac59db32fe8a675ff7683cd5a16</Application>
  <Pages>2</Pages>
  <Words>604</Words>
  <Characters>3121</Characters>
  <CharactersWithSpaces>3637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2017-07-04T12:29:08Z</dcterms:created>
  <dc:creator/>
  <dc:description/>
  <dc:language>de-DE</dc:language>
  <cp:lastModifiedBy/>
  <dcterms:modified xsi:type="dcterms:W3CDTF">2021-07-19T08:29:39Z</dcterms:modified>
  <cp:revision>80</cp:revision>
  <dc:subject/>
  <dc:title/>
</cp:coreProperties>
</file>