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Gerätturnen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pageBreakBefore w:val="false"/>
        <w:numPr>
          <w:ilvl w:val="0"/>
          <w:numId w:val="2"/>
        </w:numPr>
        <w:rPr/>
      </w:pPr>
      <w:r>
        <w:rPr/>
        <w:t>Allgemeine Bestimmungen</w:t>
      </w:r>
    </w:p>
    <w:p>
      <w:pPr>
        <w:pStyle w:val="TextBody"/>
        <w:numPr>
          <w:ilvl w:val="1"/>
          <w:numId w:val="3"/>
        </w:numPr>
        <w:rPr/>
      </w:pPr>
      <w:r>
        <w:rPr/>
        <w:t xml:space="preserve">In den Bundeswettbewerben besteht eine Mannschaft aus bis zu 5 SchülerInnen. </w:t>
        <w:br/>
        <w:t>Die 4 höchsten Wertungen an jedem Gerät zählen für das Mannschaftsergebnis.</w:t>
      </w:r>
    </w:p>
    <w:p>
      <w:pPr>
        <w:pStyle w:val="TextBody"/>
        <w:numPr>
          <w:ilvl w:val="1"/>
          <w:numId w:val="3"/>
        </w:numPr>
        <w:rPr/>
      </w:pPr>
      <w:r>
        <w:rPr/>
        <w:t xml:space="preserve">In den Landeswettbewerben besteht eine Mannschaft aus 5 SchülerInnen. </w:t>
        <w:br/>
        <w:t>Die 3 höchsten Wertungen an jedem Gerät zählen für das Mannschaftsergebnis.</w:t>
        <w:br/>
        <w:t>Ausnahme: Beim RMD-Schulcup zählen die 4 höchsten Wertungen pro Gerät.</w:t>
      </w:r>
    </w:p>
    <w:p>
      <w:pPr>
        <w:pStyle w:val="TextBody"/>
        <w:numPr>
          <w:ilvl w:val="1"/>
          <w:numId w:val="3"/>
        </w:numPr>
        <w:rPr/>
      </w:pPr>
      <w:r>
        <w:rPr/>
        <w:t>In den einzelnen Wettkampfklassen werden Pflichtübungen in mehreren Schwierigkeitsstufen angeboten.</w:t>
        <w:br/>
        <w:t>Die gewählten Schwierigkeitsgrade können an den einzelnen Geräten unterschiedlich sein.</w:t>
      </w:r>
    </w:p>
    <w:p>
      <w:pPr>
        <w:pStyle w:val="TextBody"/>
        <w:numPr>
          <w:ilvl w:val="1"/>
          <w:numId w:val="3"/>
        </w:numPr>
        <w:rPr/>
      </w:pPr>
      <w:r>
        <w:rPr/>
        <w:t xml:space="preserve">Die Pflichtübungen entsprechen denen der Schwierigkeitsstufen P des Deutschen Turnerbundes, Aufgabenbuch 2015. </w:t>
      </w:r>
    </w:p>
    <w:p>
      <w:pPr>
        <w:pStyle w:val="TextBody"/>
        <w:numPr>
          <w:ilvl w:val="1"/>
          <w:numId w:val="3"/>
        </w:numPr>
        <w:rPr/>
      </w:pPr>
      <w:r>
        <w:rPr/>
        <w:t xml:space="preserve">Vorgegebene Pflichtmusiken (P5–P8) können von den Turnerinnen durch selbst gewählte Musiken ersetzt werden. Die Übungen können bis zum Landesfinale (P-Stufen und LK) ohne Musik geturnt werden. </w:t>
        <w:br/>
        <w:t>Beim Bundesfinale in Berlin muss mit Musik geturnt werden.</w:t>
      </w:r>
    </w:p>
    <w:p>
      <w:pPr>
        <w:pStyle w:val="TextBody"/>
        <w:numPr>
          <w:ilvl w:val="1"/>
          <w:numId w:val="3"/>
        </w:numPr>
        <w:rPr/>
      </w:pPr>
      <w:r>
        <w:rPr/>
        <w:t>Im Wettkampf III (Bundeswettbewerb) der Mädchen, sowie im Wettkampf I der Mädchen</w:t>
      </w:r>
      <w:r>
        <w:rPr>
          <w:b/>
          <w:bCs/>
          <w:color w:val="FF3333"/>
        </w:rPr>
        <w:t xml:space="preserve"> </w:t>
      </w:r>
      <w:r>
        <w:rPr/>
        <w:t>werden Übungen der LK 4 (modifizierte Kür) geturnt. Im Wettkampf I der Jungen LK 3 (modifizierte Kür).</w:t>
      </w:r>
    </w:p>
    <w:p>
      <w:pPr>
        <w:pStyle w:val="TextBody"/>
        <w:numPr>
          <w:ilvl w:val="1"/>
          <w:numId w:val="3"/>
        </w:numPr>
        <w:rPr/>
      </w:pPr>
      <w:r>
        <w:rPr/>
        <w:t>Für die Ausschreibung des Grundschulwettbewerbs sind die Kreisbeauftragten zuständig.</w:t>
      </w:r>
    </w:p>
    <w:p>
      <w:pPr>
        <w:pStyle w:val="Heading1"/>
        <w:pageBreakBefore w:val="false"/>
        <w:numPr>
          <w:ilvl w:val="0"/>
          <w:numId w:val="2"/>
        </w:numPr>
        <w:rPr/>
      </w:pPr>
      <w:r>
        <w:rPr/>
        <w:t>Qualifikation</w:t>
      </w:r>
    </w:p>
    <w:p>
      <w:pPr>
        <w:pStyle w:val="TextBody"/>
        <w:rPr/>
      </w:pPr>
      <w:r>
        <w:rPr/>
        <w:t>Für das Landesfinale qualifizieren sich in den Wettkampfklassen I bis IV jeweils die erstplatzierten Mannschaften eines jeden Regierungs</w:t>
      </w:r>
      <w:r>
        <w:rPr/>
        <w:t>bezirks</w:t>
      </w:r>
      <w:r>
        <w:rPr/>
        <w:t>.</w:t>
      </w:r>
    </w:p>
    <w:p>
      <w:pPr>
        <w:pStyle w:val="TextBody"/>
        <w:rPr/>
      </w:pPr>
      <w:r>
        <w:rPr/>
        <w:t xml:space="preserve">Für das Bundesfinale im Wettkampf IV (Gerätebahnen) qualifizieren sich je eine Jungen- und eine Mädchenmann-schaft. Bei den Mädchen vertritt außerdem die Siegermannschaft des WK III das Land Baden-Württemberg beim Bundesfinale. </w:t>
      </w:r>
    </w:p>
    <w:p>
      <w:pPr>
        <w:pStyle w:val="TextBody"/>
        <w:rPr/>
      </w:pPr>
      <w:r>
        <w:rPr/>
        <w:t>Die Landessieger der Landeswettbewerbe im WK II und WK III der Jungen und Mädchen sind für die Teilnahme am Rhein–Main–Donau-Schulcup qualifiziert (Mannschaftsstärke beachten!).</w:t>
      </w:r>
    </w:p>
    <w:p>
      <w:pPr>
        <w:pStyle w:val="TextBody"/>
        <w:rPr/>
      </w:pPr>
      <w:r>
        <w:rPr/>
        <w:t>Bei Punktgleichstand zweier Mannschaften entscheidet zuerst die Anzahl der gewonnenen Gerätewertungen, danach das Gesamtergebnis unter Einbeziehung der Streichwertung.</w:t>
      </w:r>
    </w:p>
    <w:p>
      <w:pPr>
        <w:pStyle w:val="Hinweis"/>
        <w:spacing w:before="0" w:after="96"/>
        <w:rPr/>
      </w:pPr>
      <w:r>
        <w:rPr/>
        <w:t>Hinweis:</w:t>
        <w:br/>
        <w:t>Auf allen Wettkampfebenen muss jede Mannschaft von einer Lehrkraft oder von einer von der Schulleitung beauftragten volljährigen Person betreut werden.</w:t>
      </w:r>
    </w:p>
    <w:p>
      <w:pPr>
        <w:pStyle w:val="Heading1"/>
        <w:numPr>
          <w:ilvl w:val="0"/>
          <w:numId w:val="2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rPr/>
      </w:pPr>
      <w:r>
        <w:rPr/>
        <w:t xml:space="preserve">Die aktuelle Version der Ausschreibung und die zugehörigen Meldeunterlagen finden Sie immer unter: </w:t>
      </w:r>
    </w:p>
    <w:p>
      <w:pPr>
        <w:pStyle w:val="Hinweis"/>
        <w:rPr/>
      </w:pPr>
      <w:hyperlink r:id="rId2">
        <w:r>
          <w:rPr>
            <w:rStyle w:val="InternetLink"/>
          </w:rPr>
          <w:t>www.machmit-bw.de/jugend-trainiert/olympia/geraetturnen</w:t>
        </w:r>
      </w:hyperlink>
    </w:p>
    <w:p>
      <w:pPr>
        <w:pStyle w:val="Heading2"/>
        <w:keepNext w:val="true"/>
        <w:pageBreakBefore w:val="false"/>
        <w:numPr>
          <w:ilvl w:val="0"/>
          <w:numId w:val="0"/>
        </w:numPr>
        <w:bidi w:val="0"/>
        <w:spacing w:before="130" w:after="96"/>
        <w:ind w:left="0" w:right="0" w:hanging="0"/>
        <w:outlineLvl w:val="1"/>
        <w:rPr/>
      </w:pPr>
      <w:r>
        <w:rPr/>
      </w:r>
      <w:r>
        <w:br w:type="page"/>
      </w:r>
    </w:p>
    <w:p>
      <w:pPr>
        <w:pStyle w:val="Heading2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868"/>
        <w:gridCol w:w="8338"/>
      </w:tblGrid>
      <w:tr>
        <w:trPr/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15. November 2019</w:t>
            </w:r>
          </w:p>
        </w:tc>
        <w:tc>
          <w:tcPr>
            <w:tcW w:w="8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Die Meldungen sind an den Kreisbeauftragten zu richten und müssen unbedingt die E-Mail-Adresse der Schule und des Betreuers enthalten.</w:t>
            </w:r>
          </w:p>
        </w:tc>
      </w:tr>
      <w:tr>
        <w:trPr/>
        <w:tc>
          <w:tcPr>
            <w:tcW w:w="102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/>
            </w:pPr>
            <w:r>
              <w:rPr/>
              <w:t>Meldetermin für das Landesfinale ist für die qualifizierten Mannschaften der 0</w:t>
            </w:r>
            <w:r>
              <w:rPr/>
              <w:t>7</w:t>
            </w:r>
            <w:r>
              <w:rPr/>
              <w:t>. März 2020</w:t>
            </w:r>
          </w:p>
        </w:tc>
      </w:tr>
    </w:tbl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901"/>
        <w:gridCol w:w="4043"/>
        <w:gridCol w:w="4262"/>
      </w:tblGrid>
      <w:tr>
        <w:trPr>
          <w:tblHeader w:val="true"/>
        </w:trPr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Kreis- und Bezirksebene</w:t>
            </w:r>
          </w:p>
        </w:tc>
        <w:tc>
          <w:tcPr>
            <w:tcW w:w="8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Die Termine für die Wettkämpfe werden den gemeldeten Mannschaften von den Beauftragten rechtzeitig mitgeteilt.</w:t>
            </w:r>
          </w:p>
        </w:tc>
      </w:tr>
      <w:tr>
        <w:trPr>
          <w:tblHeader w:val="true"/>
        </w:trPr>
        <w:tc>
          <w:tcPr>
            <w:tcW w:w="102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Finals</w:t>
            </w:r>
          </w:p>
        </w:tc>
      </w:tr>
      <w:tr>
        <w:trPr/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Landesfinale</w:t>
            </w:r>
          </w:p>
        </w:tc>
        <w:tc>
          <w:tcPr>
            <w:tcW w:w="40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18</w:t>
            </w:r>
            <w:r>
              <w:rPr>
                <w:color w:val="CE181E"/>
              </w:rPr>
              <w:t xml:space="preserve">. und </w:t>
            </w:r>
            <w:r>
              <w:rPr>
                <w:color w:val="CE181E"/>
              </w:rPr>
              <w:t>19</w:t>
            </w:r>
            <w:r>
              <w:rPr>
                <w:color w:val="CE181E"/>
              </w:rPr>
              <w:t>. März 2020</w:t>
            </w:r>
          </w:p>
        </w:tc>
        <w:tc>
          <w:tcPr>
            <w:tcW w:w="4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in </w:t>
            </w:r>
            <w:r>
              <w:rPr>
                <w:color w:val="CE181E"/>
              </w:rPr>
              <w:t>Schömberg</w:t>
            </w:r>
          </w:p>
        </w:tc>
      </w:tr>
      <w:tr>
        <w:trPr/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Bundesfinale</w:t>
            </w:r>
          </w:p>
        </w:tc>
        <w:tc>
          <w:tcPr>
            <w:tcW w:w="40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03. bis 07. Mai 202</w:t>
            </w:r>
            <w:r>
              <w:rPr/>
              <w:t>2</w:t>
            </w:r>
          </w:p>
        </w:tc>
        <w:tc>
          <w:tcPr>
            <w:tcW w:w="4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Frühjahrsfinale in Berlin</w:t>
            </w:r>
          </w:p>
        </w:tc>
      </w:tr>
      <w:tr>
        <w:trPr/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RMD-Cup</w:t>
            </w:r>
          </w:p>
        </w:tc>
        <w:tc>
          <w:tcPr>
            <w:tcW w:w="404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15</w:t>
            </w:r>
            <w:r>
              <w:rPr/>
              <w:t xml:space="preserve">. und </w:t>
            </w:r>
            <w:r>
              <w:rPr/>
              <w:t>16</w:t>
            </w:r>
            <w:r>
              <w:rPr/>
              <w:t>. Mai 202</w:t>
            </w:r>
            <w:r>
              <w:rPr/>
              <w:t>2</w:t>
            </w:r>
          </w:p>
        </w:tc>
        <w:tc>
          <w:tcPr>
            <w:tcW w:w="4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in </w:t>
            </w:r>
            <w:r>
              <w:rPr/>
              <w:t>Rheinland-Pfalz</w:t>
            </w:r>
          </w:p>
        </w:tc>
      </w:tr>
    </w:tbl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</w:r>
    </w:p>
    <w:p>
      <w:pPr>
        <w:pStyle w:val="Heading2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Wettkämpfe</w:t>
      </w:r>
    </w:p>
    <w:p>
      <w:pPr>
        <w:pStyle w:val="TextBody"/>
        <w:rPr/>
      </w:pPr>
      <w:r>
        <w:rPr/>
        <w:t>Der Bundeswettbewerb führt zum Bundesfinale.</w:t>
      </w:r>
    </w:p>
    <w:p>
      <w:pPr>
        <w:pStyle w:val="TextBody"/>
        <w:rPr/>
      </w:pPr>
      <w:r>
        <w:rPr/>
        <w:t>Der Landeswettbewerb führt zum Landesfinale, bzw. bis zum Rhein-Main-Donau-Schulcup.</w:t>
      </w:r>
    </w:p>
    <w:p>
      <w:pPr>
        <w:pStyle w:val="TextBody"/>
        <w:spacing w:before="0" w:after="0"/>
        <w:rPr/>
      </w:pPr>
      <w:hyperlink r:id="rId3">
        <w:r>
          <w:rPr>
            <w:rStyle w:val="InternetLink"/>
          </w:rPr>
          <w:t>Übersicht Geräte</w:t>
        </w:r>
      </w:hyperlink>
      <w:r>
        <w:rPr/>
        <w:t xml:space="preserve"> </w:t>
      </w:r>
      <w:r>
        <w:rPr/>
        <w:t xml:space="preserve">| </w:t>
      </w:r>
      <w:hyperlink r:id="rId4">
        <w:r>
          <w:rPr>
            <w:rStyle w:val="InternetLink"/>
          </w:rPr>
          <w:t>Wettkampfkarte Jungen</w:t>
        </w:r>
      </w:hyperlink>
      <w:r>
        <w:rPr/>
        <w:t xml:space="preserve"> </w:t>
      </w:r>
      <w:r>
        <w:rPr/>
        <w:t xml:space="preserve">| </w:t>
      </w:r>
      <w:hyperlink r:id="rId5">
        <w:r>
          <w:rPr>
            <w:rStyle w:val="InternetLink"/>
          </w:rPr>
          <w:t>Wettkampfkarte Mädchen</w:t>
        </w:r>
      </w:hyperlink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876"/>
        <w:gridCol w:w="1156"/>
        <w:gridCol w:w="2469"/>
        <w:gridCol w:w="1755"/>
        <w:gridCol w:w="1699"/>
        <w:gridCol w:w="1251"/>
      </w:tblGrid>
      <w:tr>
        <w:trPr>
          <w:tblHeader w:val="true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Wettkampf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Jahrgänge</w:t>
              <w:br/>
              <w:t>max. – min.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Schularten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Austragungsebenen</w:t>
              <w:br/>
              <w:t>von – bis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Info zu Wettkampf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Übungen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 -- Jungen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--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LK 3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 -- Mädchen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--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LK 4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 RMDC Jungen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RDMC *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RMD-Cup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P4–P7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 RMDC Mädchen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RDMC *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RMD-Cup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P4–P7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-- Mädchen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Bundeswettbewerb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hyperlink r:id="rId6" w:tgtFrame="_blank">
              <w:r>
                <w:rPr>
                  <w:rStyle w:val="InternetLink"/>
                </w:rPr>
                <w:t>LK 4</w:t>
              </w:r>
            </w:hyperlink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RMD-1 Jungen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</w:t>
            </w:r>
            <w:r>
              <w:rPr/>
              <w:t>MD</w:t>
            </w:r>
            <w:r>
              <w:rPr/>
              <w:t>C *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RMD-Cup /1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P4–P6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RMD-2 Jungen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6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RS, WS, HS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KR – R</w:t>
            </w:r>
            <w:r>
              <w:rPr/>
              <w:t>MD</w:t>
            </w:r>
            <w:r>
              <w:rPr/>
              <w:t>C *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RMD-Cup /2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P4–P6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RMD-2 Mädchen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6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RS, WS, HS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KR – R</w:t>
            </w:r>
            <w:r>
              <w:rPr/>
              <w:t>MD</w:t>
            </w:r>
            <w:r>
              <w:rPr/>
              <w:t>C *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RMD-Cup /2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P4–P6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IV -- Jungen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12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Bundeswettbewerb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hyperlink r:id="rId7" w:tgtFrame="_blank">
              <w:r>
                <w:rPr>
                  <w:rStyle w:val="InternetLink"/>
                </w:rPr>
                <w:t>Gerätebahnen</w:t>
              </w:r>
            </w:hyperlink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IV -- Mädchen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12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Bundeswettbewerb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hyperlink r:id="rId8" w:tgtFrame="_blank">
              <w:r>
                <w:rPr>
                  <w:rStyle w:val="InternetLink"/>
                </w:rPr>
                <w:t>Gerätebahnen</w:t>
              </w:r>
            </w:hyperlink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IV LW Jungen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GYM, GMS, RS, WS, HS, </w:t>
            </w:r>
            <w:r>
              <w:rPr/>
              <w:t>GS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Landeswettbewerb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P2–P5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IV LW Mädchen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GYM, GMS, RS, WS, HS, </w:t>
            </w:r>
            <w:r>
              <w:rPr/>
              <w:t>GS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Landeswettbewerb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P2–P5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V -- Jungen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P1–P4 **</w:t>
            </w:r>
          </w:p>
        </w:tc>
      </w:tr>
      <w:tr>
        <w:trPr/>
        <w:tc>
          <w:tcPr>
            <w:tcW w:w="18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V -- Mädchen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P1–P4 **</w:t>
            </w:r>
          </w:p>
        </w:tc>
      </w:tr>
      <w:tr>
        <w:trPr/>
        <w:tc>
          <w:tcPr>
            <w:tcW w:w="1020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0"/>
              <w:rPr/>
            </w:pPr>
            <w:r>
              <w:rPr/>
              <w:t>Teilnehmer max. / min. (in Wertung) in den Wettkämpfen:</w:t>
            </w:r>
          </w:p>
          <w:p>
            <w:pPr>
              <w:pStyle w:val="TableHeading"/>
              <w:spacing w:before="57" w:after="0"/>
              <w:rPr/>
            </w:pPr>
            <w:r>
              <w:rPr/>
              <w:t>Bundeswettbewerb: 5 / 4</w:t>
            </w:r>
          </w:p>
          <w:p>
            <w:pPr>
              <w:pStyle w:val="TableHeading"/>
              <w:spacing w:before="57" w:after="0"/>
              <w:rPr/>
            </w:pPr>
            <w:r>
              <w:rPr/>
              <w:t>Alle anderen Wettkämpfe: 5 / 3</w:t>
            </w:r>
          </w:p>
          <w:p>
            <w:pPr>
              <w:pStyle w:val="TableHeading"/>
              <w:spacing w:before="57" w:after="0"/>
              <w:rPr/>
            </w:pPr>
            <w:r>
              <w:rPr/>
              <w:t>RMDC-Finale: 5 / 4</w:t>
            </w:r>
          </w:p>
          <w:p>
            <w:pPr>
              <w:pStyle w:val="TableHeading"/>
              <w:spacing w:before="57" w:after="0"/>
              <w:rPr/>
            </w:pPr>
            <w:r>
              <w:rPr/>
              <w:t>Beachten Sie also bitte, dass im Finale des Rhein–Main–Donau-Schulcups am 17. und 18. Mai 2020 in Ulm die 4 höchsten Wertungen pro Gerät gewertet werden. Das bedeutet, dass mindestens 4 Teilnehmerinnen oder Teilnehmer zum Finale gemeldet werden müssen.</w:t>
            </w:r>
          </w:p>
          <w:p>
            <w:pPr>
              <w:pStyle w:val="TableHeading"/>
              <w:spacing w:before="57" w:after="0"/>
              <w:rPr/>
            </w:pPr>
            <w:r>
              <w:rPr/>
              <w:t>** Alternativ können der Kitu-Cup II oder das Grundschulprogramm des BTB/STB geturnt werden (siehe Ausschreibungen der Kreisbeauftragten).</w:t>
            </w:r>
          </w:p>
        </w:tc>
      </w:tr>
    </w:tbl>
    <w:p>
      <w:pPr>
        <w:pStyle w:val="TextBody"/>
        <w:spacing w:before="0" w:after="96"/>
        <w:rPr/>
      </w:pPr>
      <w:r>
        <w:rPr/>
      </w:r>
    </w:p>
    <w:sectPr>
      <w:headerReference w:type="first" r:id="rId9"/>
      <w:footerReference w:type="default" r:id="rId10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Gerätturnen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607"/>
        </w:tabs>
        <w:ind w:left="607" w:hanging="607"/>
      </w:pPr>
      <w:rPr/>
    </w:lvl>
    <w:lvl w:ilvl="1">
      <w:start w:val="1"/>
      <w:numFmt w:val="decimal"/>
      <w:lvlText w:val="%1.%2"/>
      <w:lvlJc w:val="left"/>
      <w:pPr>
        <w:tabs>
          <w:tab w:val="num" w:pos="607"/>
        </w:tabs>
        <w:ind w:left="607" w:hanging="607"/>
      </w:pPr>
      <w:rPr/>
    </w:lvl>
    <w:lvl w:ilvl="2">
      <w:start w:val="1"/>
      <w:numFmt w:val="decimal"/>
      <w:lvlText w:val="%1.%2.%3"/>
      <w:lvlJc w:val="left"/>
      <w:pPr>
        <w:tabs>
          <w:tab w:val="num" w:pos="607"/>
        </w:tabs>
        <w:ind w:left="607" w:hanging="607"/>
      </w:pPr>
      <w:rPr/>
    </w:lvl>
    <w:lvl w:ilvl="3">
      <w:start w:val="1"/>
      <w:numFmt w:val="decimal"/>
      <w:lvlText w:val="%2.%3.%4"/>
      <w:lvlJc w:val="left"/>
      <w:pPr>
        <w:tabs>
          <w:tab w:val="num" w:pos="266"/>
        </w:tabs>
        <w:ind w:left="266" w:hanging="266"/>
      </w:pPr>
      <w:rPr/>
    </w:lvl>
    <w:lvl w:ilvl="4">
      <w:start w:val="1"/>
      <w:numFmt w:val="decimal"/>
      <w:lvlText w:val="%3.%4.%5"/>
      <w:lvlJc w:val="left"/>
      <w:pPr>
        <w:tabs>
          <w:tab w:val="num" w:pos="266"/>
        </w:tabs>
        <w:ind w:left="266" w:hanging="266"/>
      </w:pPr>
      <w:rPr/>
    </w:lvl>
    <w:lvl w:ilvl="5">
      <w:start w:val="1"/>
      <w:numFmt w:val="decimal"/>
      <w:lvlText w:val="%4.%5.%6"/>
      <w:lvlJc w:val="left"/>
      <w:pPr>
        <w:tabs>
          <w:tab w:val="num" w:pos="266"/>
        </w:tabs>
        <w:ind w:left="266" w:hanging="266"/>
      </w:pPr>
      <w:rPr/>
    </w:lvl>
    <w:lvl w:ilvl="6">
      <w:start w:val="1"/>
      <w:numFmt w:val="decimal"/>
      <w:lvlText w:val="%5.%6.%7"/>
      <w:lvlJc w:val="left"/>
      <w:pPr>
        <w:tabs>
          <w:tab w:val="num" w:pos="266"/>
        </w:tabs>
        <w:ind w:left="266" w:hanging="266"/>
      </w:pPr>
      <w:rPr/>
    </w:lvl>
    <w:lvl w:ilvl="7">
      <w:start w:val="1"/>
      <w:numFmt w:val="decimal"/>
      <w:lvlText w:val="%6.%7.%8"/>
      <w:lvlJc w:val="left"/>
      <w:pPr>
        <w:tabs>
          <w:tab w:val="num" w:pos="266"/>
        </w:tabs>
        <w:ind w:left="266" w:hanging="266"/>
      </w:pPr>
      <w:rPr/>
    </w:lvl>
    <w:lvl w:ilvl="8">
      <w:start w:val="1"/>
      <w:numFmt w:val="decimal"/>
      <w:lvlText w:val="%7.%8.%9"/>
      <w:lvlJc w:val="left"/>
      <w:pPr>
        <w:tabs>
          <w:tab w:val="num" w:pos="266"/>
        </w:tabs>
        <w:ind w:left="266" w:hanging="266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567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Emphasis">
    <w:name w:val="Emphasis"/>
    <w:qFormat/>
    <w:rPr>
      <w:i/>
      <w:iCs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chmit-bw.de/jugend-trainiert/olympia/geraetturnen" TargetMode="External"/><Relationship Id="rId3" Type="http://schemas.openxmlformats.org/officeDocument/2006/relationships/hyperlink" Target="https://www.machmit-bw.de/files/ausschreibungen/info/JTFO-GET-Geraete.pdf" TargetMode="External"/><Relationship Id="rId4" Type="http://schemas.openxmlformats.org/officeDocument/2006/relationships/hyperlink" Target="https://www.machmit-bw.de/files/ausschreibungen/info/JTFO-GET-Wettkampfkarte_Jungen.xlsx" TargetMode="External"/><Relationship Id="rId5" Type="http://schemas.openxmlformats.org/officeDocument/2006/relationships/hyperlink" Target="https://www.machmit-bw.de/files/ausschreibungen/info/JTFO-GET-Wettkampfkarte_Maedchen.xlsx" TargetMode="External"/><Relationship Id="rId6" Type="http://schemas.openxmlformats.org/officeDocument/2006/relationships/hyperlink" Target="https://www.dtb.de/geraetturnen/themen/jugend-trainiert-fuer-olympia/informationendownloads/" TargetMode="External"/><Relationship Id="rId7" Type="http://schemas.openxmlformats.org/officeDocument/2006/relationships/hyperlink" Target="https://www.dtb.de/geraetturnen/themen/jugend-trainiert-fuer-olympia/informationendownloads/" TargetMode="External"/><Relationship Id="rId8" Type="http://schemas.openxmlformats.org/officeDocument/2006/relationships/hyperlink" Target="https://www.dtb.de/geraetturnen/themen/jugend-trainiert-fuer-olympia/informationendownloads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6869</TotalTime>
  <Application>LibreOffice/6.0.5.2$MacOSX_X86_64 LibreOffice_project/54c8cbb85f300ac59db32fe8a675ff7683cd5a16</Application>
  <Pages>2</Pages>
  <Words>728</Words>
  <Characters>4102</Characters>
  <CharactersWithSpaces>4704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2021-07-19T08:21:49Z</dcterms:modified>
  <cp:revision>92</cp:revision>
  <dc:subject/>
  <dc:title/>
</cp:coreProperties>
</file>